
<file path=[Content_Types].xml><?xml version="1.0" encoding="utf-8"?>
<Types xmlns="http://schemas.openxmlformats.org/package/2006/content-types">
  <Default Extension="xml" ContentType="application/xml"/>
  <Default Extension="tiff" ContentType="image/tiff"/>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5C84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217C5FC4">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B7294EE">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91.120.25</w:t>
            </w:r>
            <w:r>
              <w:rPr>
                <w:rFonts w:ascii="黑体" w:hAnsi="黑体" w:eastAsia="黑体"/>
                <w:sz w:val="21"/>
                <w:szCs w:val="21"/>
              </w:rPr>
              <w:fldChar w:fldCharType="end"/>
            </w:r>
            <w:bookmarkEnd w:id="0"/>
          </w:p>
        </w:tc>
      </w:tr>
      <w:tr w14:paraId="5D911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F5F6595">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9C8F5F8">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P 15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03784B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14:paraId="22A1B207">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5CEA6572">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742BCE1">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4654BDE2">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C055F25">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51FD254">
      <w:pPr>
        <w:pStyle w:val="50"/>
        <w:framePr w:w="9639" w:h="6976" w:hRule="exact" w:hSpace="0" w:vSpace="0" w:wrap="around" w:hAnchor="page" w:y="6408"/>
        <w:jc w:val="center"/>
        <w:rPr>
          <w:rFonts w:ascii="黑体" w:hAnsi="黑体" w:eastAsia="黑体"/>
          <w:b w:val="0"/>
          <w:bCs w:val="0"/>
          <w:w w:val="100"/>
        </w:rPr>
      </w:pPr>
    </w:p>
    <w:p w14:paraId="20D4A9B9">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地震断层土壤气观测台站建设规范</w:t>
      </w:r>
      <w:r>
        <w:fldChar w:fldCharType="end"/>
      </w:r>
      <w:bookmarkEnd w:id="9"/>
    </w:p>
    <w:p w14:paraId="197FE372">
      <w:pPr>
        <w:framePr w:w="9639" w:h="6974" w:hRule="exact" w:wrap="around" w:vAnchor="page" w:hAnchor="page" w:x="1419" w:y="6408" w:anchorLock="1"/>
        <w:ind w:left="-1418"/>
      </w:pPr>
    </w:p>
    <w:p w14:paraId="5A453998">
      <w:pPr>
        <w:pStyle w:val="125"/>
        <w:framePr w:w="9639" w:h="6974" w:hRule="exact" w:wrap="around" w:vAnchor="page" w:hAnchor="page" w:x="1419" w:y="6408" w:anchorLock="1"/>
        <w:textAlignment w:val="bottom"/>
        <w:rPr>
          <w:rFonts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eastAsia="黑体"/>
          <w:szCs w:val="28"/>
        </w:rPr>
        <w:t>Specification for the construction of seismic fault soil gas observation station</w:t>
      </w:r>
      <w:r>
        <w:rPr>
          <w:rFonts w:eastAsia="黑体"/>
          <w:szCs w:val="28"/>
        </w:rPr>
        <w:fldChar w:fldCharType="end"/>
      </w:r>
      <w:bookmarkEnd w:id="10"/>
    </w:p>
    <w:p w14:paraId="2CBF6A5D">
      <w:pPr>
        <w:framePr w:w="9639" w:h="6974" w:hRule="exact" w:wrap="around" w:vAnchor="page" w:hAnchor="page" w:x="1419" w:y="6408" w:anchorLock="1"/>
        <w:spacing w:line="760" w:lineRule="exact"/>
        <w:ind w:left="-1418"/>
      </w:pPr>
    </w:p>
    <w:p w14:paraId="46604C13">
      <w:pPr>
        <w:pStyle w:val="125"/>
        <w:framePr w:w="9639" w:h="6974" w:hRule="exact" w:wrap="around" w:vAnchor="page" w:hAnchor="page" w:x="1419" w:y="6408" w:anchorLock="1"/>
        <w:textAlignment w:val="bottom"/>
        <w:rPr>
          <w:rFonts w:eastAsia="黑体"/>
          <w:szCs w:val="28"/>
        </w:rPr>
      </w:pPr>
    </w:p>
    <w:p w14:paraId="77534A05">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514B88D8">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3F275868">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63777375">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78953BFF">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0E1AC8F">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74BB18C">
      <w:pPr>
        <w:pStyle w:val="91"/>
        <w:spacing w:after="468"/>
        <w:rPr>
          <w:rFonts w:hint="eastAsia"/>
        </w:rPr>
      </w:pPr>
      <w:bookmarkStart w:id="20" w:name="BookMark1"/>
      <w:r>
        <w:rPr>
          <w:rFonts w:hint="eastAsia"/>
          <w:spacing w:val="320"/>
        </w:rPr>
        <w:t>目</w:t>
      </w:r>
      <w:r>
        <w:rPr>
          <w:rFonts w:hint="eastAsia"/>
        </w:rPr>
        <w:t>次</w:t>
      </w:r>
    </w:p>
    <w:p w14:paraId="799A292C">
      <w:pPr>
        <w:pStyle w:val="19"/>
        <w:tabs>
          <w:tab w:val="right" w:leader="dot" w:pos="9354"/>
        </w:tabs>
      </w:pPr>
      <w:r>
        <w:fldChar w:fldCharType="begin"/>
      </w:r>
      <w:r>
        <w:instrText xml:space="preserve"> TOC \o "1-1" \h </w:instrText>
      </w:r>
      <w:r>
        <w:fldChar w:fldCharType="separate"/>
      </w:r>
      <w:r>
        <w:fldChar w:fldCharType="begin"/>
      </w:r>
      <w:r>
        <w:instrText xml:space="preserve"> HYPERLINK \l _Toc14472 </w:instrText>
      </w:r>
      <w:r>
        <w:fldChar w:fldCharType="separate"/>
      </w:r>
      <w:r>
        <w:rPr>
          <w:rFonts w:hint="eastAsia"/>
          <w:lang w:eastAsia="zh-CN"/>
        </w:rPr>
        <w:t>前</w:t>
      </w:r>
      <w:r>
        <w:t>言</w:t>
      </w:r>
      <w:r>
        <w:tab/>
      </w:r>
      <w:r>
        <w:fldChar w:fldCharType="begin"/>
      </w:r>
      <w:r>
        <w:instrText xml:space="preserve"> PAGEREF _Toc14472 \h </w:instrText>
      </w:r>
      <w:r>
        <w:fldChar w:fldCharType="separate"/>
      </w:r>
      <w:r>
        <w:t>II</w:t>
      </w:r>
      <w:r>
        <w:fldChar w:fldCharType="end"/>
      </w:r>
      <w:r>
        <w:fldChar w:fldCharType="end"/>
      </w:r>
    </w:p>
    <w:p w14:paraId="56700C3F">
      <w:pPr>
        <w:pStyle w:val="19"/>
        <w:tabs>
          <w:tab w:val="right" w:leader="dot" w:pos="9354"/>
        </w:tabs>
      </w:pPr>
      <w:r>
        <w:fldChar w:fldCharType="begin"/>
      </w:r>
      <w:r>
        <w:instrText xml:space="preserve"> HYPERLINK \l _Toc3996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_Toc3996 \h </w:instrText>
      </w:r>
      <w:r>
        <w:fldChar w:fldCharType="separate"/>
      </w:r>
      <w:r>
        <w:t>1</w:t>
      </w:r>
      <w:r>
        <w:fldChar w:fldCharType="end"/>
      </w:r>
      <w:r>
        <w:fldChar w:fldCharType="end"/>
      </w:r>
    </w:p>
    <w:p w14:paraId="52775EF8">
      <w:pPr>
        <w:pStyle w:val="19"/>
        <w:tabs>
          <w:tab w:val="right" w:leader="dot" w:pos="9354"/>
        </w:tabs>
      </w:pPr>
      <w:r>
        <w:fldChar w:fldCharType="begin"/>
      </w:r>
      <w:r>
        <w:instrText xml:space="preserve"> HYPERLINK \l _Toc3858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_Toc3858 \h </w:instrText>
      </w:r>
      <w:r>
        <w:fldChar w:fldCharType="separate"/>
      </w:r>
      <w:r>
        <w:t>1</w:t>
      </w:r>
      <w:r>
        <w:fldChar w:fldCharType="end"/>
      </w:r>
      <w:r>
        <w:fldChar w:fldCharType="end"/>
      </w:r>
    </w:p>
    <w:p w14:paraId="76AC7FC8">
      <w:pPr>
        <w:pStyle w:val="19"/>
        <w:tabs>
          <w:tab w:val="right" w:leader="dot" w:pos="9354"/>
        </w:tabs>
      </w:pPr>
      <w:r>
        <w:fldChar w:fldCharType="begin"/>
      </w:r>
      <w:r>
        <w:instrText xml:space="preserve"> HYPERLINK \l _Toc17097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_Toc17097 \h </w:instrText>
      </w:r>
      <w:r>
        <w:fldChar w:fldCharType="separate"/>
      </w:r>
      <w:r>
        <w:t>1</w:t>
      </w:r>
      <w:r>
        <w:fldChar w:fldCharType="end"/>
      </w:r>
      <w:r>
        <w:fldChar w:fldCharType="end"/>
      </w:r>
    </w:p>
    <w:p w14:paraId="46EBEEA7">
      <w:pPr>
        <w:pStyle w:val="19"/>
        <w:tabs>
          <w:tab w:val="right" w:leader="dot" w:pos="9354"/>
        </w:tabs>
      </w:pPr>
      <w:r>
        <w:fldChar w:fldCharType="begin"/>
      </w:r>
      <w:r>
        <w:instrText xml:space="preserve"> HYPERLINK \l _Toc4298 </w:instrText>
      </w:r>
      <w:r>
        <w:fldChar w:fldCharType="separate"/>
      </w:r>
      <w:r>
        <w:rPr>
          <w:rFonts w:hint="eastAsia" w:ascii="黑体" w:eastAsia="黑体"/>
          <w:i w:val="0"/>
        </w:rPr>
        <w:t xml:space="preserve">4 </w:t>
      </w:r>
      <w:r>
        <w:rPr>
          <w:rFonts w:hint="eastAsia"/>
        </w:rPr>
        <w:t>站址勘选</w:t>
      </w:r>
      <w:r>
        <w:tab/>
      </w:r>
      <w:r>
        <w:fldChar w:fldCharType="begin"/>
      </w:r>
      <w:r>
        <w:instrText xml:space="preserve"> PAGEREF _Toc4298 \h </w:instrText>
      </w:r>
      <w:r>
        <w:fldChar w:fldCharType="separate"/>
      </w:r>
      <w:r>
        <w:t>1</w:t>
      </w:r>
      <w:r>
        <w:fldChar w:fldCharType="end"/>
      </w:r>
      <w:r>
        <w:fldChar w:fldCharType="end"/>
      </w:r>
    </w:p>
    <w:p w14:paraId="00681C66">
      <w:pPr>
        <w:pStyle w:val="19"/>
        <w:tabs>
          <w:tab w:val="right" w:leader="dot" w:pos="9354"/>
        </w:tabs>
      </w:pPr>
      <w:r>
        <w:fldChar w:fldCharType="begin"/>
      </w:r>
      <w:r>
        <w:instrText xml:space="preserve"> HYPERLINK \l _Toc11531 </w:instrText>
      </w:r>
      <w:r>
        <w:fldChar w:fldCharType="separate"/>
      </w:r>
      <w:r>
        <w:rPr>
          <w:rFonts w:hint="eastAsia" w:ascii="黑体" w:eastAsia="黑体"/>
          <w:i w:val="0"/>
          <w:kern w:val="1"/>
          <w:szCs w:val="21"/>
        </w:rPr>
        <w:t xml:space="preserve">5 </w:t>
      </w:r>
      <w:r>
        <w:rPr>
          <w:rFonts w:ascii="Times New Roman"/>
        </w:rPr>
        <w:t>观测孔</w:t>
      </w:r>
      <w:r>
        <w:tab/>
      </w:r>
      <w:r>
        <w:fldChar w:fldCharType="begin"/>
      </w:r>
      <w:r>
        <w:instrText xml:space="preserve"> PAGEREF _Toc11531 \h </w:instrText>
      </w:r>
      <w:r>
        <w:fldChar w:fldCharType="separate"/>
      </w:r>
      <w:r>
        <w:t>3</w:t>
      </w:r>
      <w:r>
        <w:fldChar w:fldCharType="end"/>
      </w:r>
      <w:r>
        <w:fldChar w:fldCharType="end"/>
      </w:r>
    </w:p>
    <w:p w14:paraId="6ACEA5E5">
      <w:pPr>
        <w:pStyle w:val="19"/>
        <w:tabs>
          <w:tab w:val="right" w:leader="dot" w:pos="9354"/>
        </w:tabs>
      </w:pPr>
      <w:r>
        <w:fldChar w:fldCharType="begin"/>
      </w:r>
      <w:r>
        <w:instrText xml:space="preserve"> HYPERLINK \l _Toc16498 </w:instrText>
      </w:r>
      <w:r>
        <w:fldChar w:fldCharType="separate"/>
      </w:r>
      <w:r>
        <w:rPr>
          <w:rFonts w:hint="eastAsia" w:ascii="黑体" w:eastAsia="黑体"/>
          <w:i w:val="0"/>
        </w:rPr>
        <w:t xml:space="preserve">6 </w:t>
      </w:r>
      <w:r>
        <w:rPr>
          <w:rFonts w:ascii="Times New Roman"/>
        </w:rPr>
        <w:t>观测室</w:t>
      </w:r>
      <w:r>
        <w:tab/>
      </w:r>
      <w:r>
        <w:fldChar w:fldCharType="begin"/>
      </w:r>
      <w:r>
        <w:instrText xml:space="preserve"> PAGEREF _Toc16498 \h </w:instrText>
      </w:r>
      <w:r>
        <w:fldChar w:fldCharType="separate"/>
      </w:r>
      <w:r>
        <w:t>6</w:t>
      </w:r>
      <w:r>
        <w:fldChar w:fldCharType="end"/>
      </w:r>
      <w:r>
        <w:fldChar w:fldCharType="end"/>
      </w:r>
    </w:p>
    <w:p w14:paraId="340EFEFE">
      <w:pPr>
        <w:pStyle w:val="19"/>
        <w:tabs>
          <w:tab w:val="right" w:leader="dot" w:pos="9354"/>
        </w:tabs>
      </w:pPr>
      <w:r>
        <w:fldChar w:fldCharType="begin"/>
      </w:r>
      <w:r>
        <w:instrText xml:space="preserve"> HYPERLINK \l _Toc7407 </w:instrText>
      </w:r>
      <w:r>
        <w:fldChar w:fldCharType="separate"/>
      </w:r>
      <w:r>
        <w:rPr>
          <w:rFonts w:hint="eastAsia" w:ascii="黑体" w:eastAsia="黑体"/>
          <w:i w:val="0"/>
        </w:rPr>
        <w:t xml:space="preserve">7 </w:t>
      </w:r>
      <w:r>
        <w:rPr>
          <w:rFonts w:ascii="Times New Roman"/>
        </w:rPr>
        <w:t>设备配置</w:t>
      </w:r>
      <w:r>
        <w:tab/>
      </w:r>
      <w:r>
        <w:fldChar w:fldCharType="begin"/>
      </w:r>
      <w:r>
        <w:instrText xml:space="preserve"> PAGEREF _Toc7407 \h </w:instrText>
      </w:r>
      <w:r>
        <w:fldChar w:fldCharType="separate"/>
      </w:r>
      <w:r>
        <w:t>6</w:t>
      </w:r>
      <w:r>
        <w:fldChar w:fldCharType="end"/>
      </w:r>
      <w:r>
        <w:fldChar w:fldCharType="end"/>
      </w:r>
    </w:p>
    <w:p w14:paraId="0FAC507F">
      <w:pPr>
        <w:pStyle w:val="19"/>
        <w:tabs>
          <w:tab w:val="right" w:leader="dot" w:pos="9354"/>
        </w:tabs>
      </w:pPr>
      <w:r>
        <w:fldChar w:fldCharType="begin"/>
      </w:r>
      <w:r>
        <w:instrText xml:space="preserve"> HYPERLINK \l _Toc5586 </w:instrText>
      </w:r>
      <w:r>
        <w:fldChar w:fldCharType="separate"/>
      </w:r>
      <w:r>
        <w:rPr>
          <w:rFonts w:hint="eastAsia" w:ascii="黑体" w:eastAsia="黑体"/>
          <w:i w:val="0"/>
        </w:rPr>
        <w:t xml:space="preserve">8 </w:t>
      </w:r>
      <w:r>
        <w:rPr>
          <w:rFonts w:ascii="Times New Roman"/>
        </w:rPr>
        <w:t>资料归档</w:t>
      </w:r>
      <w:r>
        <w:tab/>
      </w:r>
      <w:r>
        <w:fldChar w:fldCharType="begin"/>
      </w:r>
      <w:r>
        <w:instrText xml:space="preserve"> PAGEREF _Toc5586 \h </w:instrText>
      </w:r>
      <w:r>
        <w:fldChar w:fldCharType="separate"/>
      </w:r>
      <w:r>
        <w:t>8</w:t>
      </w:r>
      <w:r>
        <w:fldChar w:fldCharType="end"/>
      </w:r>
      <w:r>
        <w:fldChar w:fldCharType="end"/>
      </w:r>
    </w:p>
    <w:p w14:paraId="4D065CB4">
      <w:pPr>
        <w:pStyle w:val="19"/>
        <w:tabs>
          <w:tab w:val="right" w:leader="dot" w:pos="9354"/>
        </w:tabs>
      </w:pPr>
      <w:r>
        <w:fldChar w:fldCharType="begin"/>
      </w:r>
      <w:r>
        <w:instrText xml:space="preserve"> HYPERLINK \l _Toc18633 </w:instrText>
      </w:r>
      <w:r>
        <w:fldChar w:fldCharType="separate"/>
      </w:r>
      <w:r>
        <w:rPr>
          <w:rFonts w:hint="eastAsia"/>
          <w:spacing w:val="105"/>
        </w:rPr>
        <w:t>参考文</w:t>
      </w:r>
      <w:r>
        <w:rPr>
          <w:rFonts w:hint="eastAsia"/>
        </w:rPr>
        <w:t>献</w:t>
      </w:r>
      <w:r>
        <w:tab/>
      </w:r>
      <w:r>
        <w:fldChar w:fldCharType="begin"/>
      </w:r>
      <w:r>
        <w:instrText xml:space="preserve"> PAGEREF _Toc18633 \h </w:instrText>
      </w:r>
      <w:r>
        <w:fldChar w:fldCharType="separate"/>
      </w:r>
      <w:r>
        <w:t>9</w:t>
      </w:r>
      <w:r>
        <w:fldChar w:fldCharType="end"/>
      </w:r>
      <w:r>
        <w:fldChar w:fldCharType="end"/>
      </w:r>
    </w:p>
    <w:p w14:paraId="18A78F79">
      <w:pPr>
        <w:pStyle w:val="91"/>
        <w:spacing w:after="468"/>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0"/>
    <w:p w14:paraId="2F0A3933">
      <w:pPr>
        <w:pStyle w:val="89"/>
        <w:spacing w:before="900" w:after="468"/>
      </w:pPr>
      <w:bookmarkStart w:id="21" w:name="_Toc14472"/>
      <w:bookmarkStart w:id="22" w:name="BookMark2"/>
      <w:r>
        <w:rPr>
          <w:spacing w:val="320"/>
        </w:rPr>
        <w:t>前</w:t>
      </w:r>
      <w:r>
        <w:t>言</w:t>
      </w:r>
      <w:bookmarkEnd w:id="21"/>
    </w:p>
    <w:p w14:paraId="2D1F1C46">
      <w:pPr>
        <w:pStyle w:val="56"/>
        <w:ind w:firstLine="420"/>
        <w:rPr>
          <w:rFonts w:hint="eastAsia"/>
        </w:rPr>
      </w:pPr>
      <w:r>
        <w:rPr>
          <w:rFonts w:hint="eastAsia"/>
        </w:rPr>
        <w:t>本文件按照GB/T 1.1—2020《标准化工作导则  第1部分：标准化文件的结构和起草规则》的规定起草。</w:t>
      </w:r>
    </w:p>
    <w:p w14:paraId="2DB537DE">
      <w:pPr>
        <w:pStyle w:val="56"/>
        <w:ind w:firstLine="420"/>
        <w:rPr>
          <w:rFonts w:hint="eastAsia"/>
        </w:rPr>
      </w:pPr>
      <w:r>
        <w:rPr>
          <w:rFonts w:hint="eastAsia"/>
        </w:rPr>
        <w:t>请注意本文件的某些内容可能涉及专利。本文件的发布机构不承担识别专利的责任。</w:t>
      </w:r>
    </w:p>
    <w:p w14:paraId="11E61471">
      <w:pPr>
        <w:pStyle w:val="56"/>
        <w:ind w:firstLine="420"/>
        <w:rPr>
          <w:rFonts w:hint="eastAsia"/>
        </w:rPr>
      </w:pPr>
      <w:r>
        <w:rPr>
          <w:rFonts w:hint="eastAsia"/>
        </w:rPr>
        <w:t>本文件由江苏省地震局提出、归口并组织实施。</w:t>
      </w:r>
    </w:p>
    <w:p w14:paraId="3EAD3FA1">
      <w:pPr>
        <w:pStyle w:val="56"/>
        <w:ind w:firstLine="420"/>
        <w:rPr>
          <w:rFonts w:hint="eastAsia"/>
        </w:rPr>
      </w:pPr>
      <w:r>
        <w:rPr>
          <w:rFonts w:hint="eastAsia"/>
        </w:rPr>
        <w:t>本文件起草单位：江苏省地震局、宿迁市地震服务中心、盐城市地震局、常州市地震局。</w:t>
      </w:r>
    </w:p>
    <w:p w14:paraId="3FDEB841">
      <w:pPr>
        <w:pStyle w:val="56"/>
        <w:ind w:firstLine="420"/>
        <w:rPr>
          <w:rFonts w:hint="eastAsia"/>
        </w:rPr>
      </w:pPr>
      <w:r>
        <w:rPr>
          <w:rFonts w:hint="eastAsia"/>
        </w:rPr>
        <w:t>本文件主要起草人：戴波、郑江蓉、单友磊、张敏、李飞、张荣杉、彭澎、张朋、孙煜杰、高明智、立凯、王凯、朱红、陈勇、姜祖明、翁予谦、张朋辉。</w:t>
      </w:r>
    </w:p>
    <w:p w14:paraId="2C52D111">
      <w:pPr>
        <w:pStyle w:val="56"/>
        <w:ind w:firstLine="420"/>
      </w:pPr>
    </w:p>
    <w:p w14:paraId="21EA796D">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p>
    <w:bookmarkEnd w:id="22"/>
    <w:p w14:paraId="759CF9D1">
      <w:pPr>
        <w:spacing w:line="20" w:lineRule="exact"/>
        <w:jc w:val="center"/>
        <w:rPr>
          <w:rFonts w:ascii="黑体" w:hAnsi="黑体" w:eastAsia="黑体"/>
          <w:sz w:val="32"/>
          <w:szCs w:val="32"/>
        </w:rPr>
      </w:pPr>
      <w:bookmarkStart w:id="23" w:name="BookMark4"/>
    </w:p>
    <w:p w14:paraId="2228ACAE">
      <w:pPr>
        <w:spacing w:line="20" w:lineRule="exact"/>
        <w:jc w:val="center"/>
        <w:rPr>
          <w:rFonts w:ascii="黑体" w:hAnsi="黑体" w:eastAsia="黑体"/>
          <w:sz w:val="32"/>
          <w:szCs w:val="32"/>
        </w:rPr>
      </w:pPr>
    </w:p>
    <w:sdt>
      <w:sdtPr>
        <w:tag w:val="NEW_STAND_NAME"/>
        <w:id w:val="595910757"/>
        <w:lock w:val="sdtLocked"/>
        <w:placeholder>
          <w:docPart w:val="5AC9211AF13048128514A4A0ADF86398"/>
        </w:placeholder>
      </w:sdtPr>
      <w:sdtContent>
        <w:p w14:paraId="0D755C77">
          <w:pPr>
            <w:pStyle w:val="177"/>
            <w:spacing w:before="3" w:beforeLines="1" w:after="686" w:afterLines="220"/>
          </w:pPr>
          <w:bookmarkStart w:id="24" w:name="NEW_STAND_NAME"/>
          <w:r>
            <w:rPr>
              <w:rFonts w:hint="eastAsia"/>
            </w:rPr>
            <w:t>地震断层土壤气观测台站建设规范</w:t>
          </w:r>
        </w:p>
      </w:sdtContent>
    </w:sdt>
    <w:bookmarkEnd w:id="24"/>
    <w:p w14:paraId="6A68FF1E">
      <w:pPr>
        <w:pStyle w:val="104"/>
        <w:spacing w:before="312" w:after="312"/>
      </w:pPr>
      <w:bookmarkStart w:id="25" w:name="_Toc24884211"/>
      <w:bookmarkStart w:id="26" w:name="_Toc26648465"/>
      <w:bookmarkStart w:id="27" w:name="_Toc24884218"/>
      <w:bookmarkStart w:id="28" w:name="_Toc97191423"/>
      <w:bookmarkStart w:id="29" w:name="_Toc26986771"/>
      <w:bookmarkStart w:id="30" w:name="_Toc3996"/>
      <w:bookmarkStart w:id="31" w:name="_Toc26718930"/>
      <w:bookmarkStart w:id="32" w:name="_Toc17233325"/>
      <w:bookmarkStart w:id="33" w:name="_Toc26986530"/>
      <w:bookmarkStart w:id="34" w:name="_Toc17233333"/>
      <w:r>
        <w:rPr>
          <w:rFonts w:hint="eastAsia"/>
        </w:rPr>
        <w:t>范围</w:t>
      </w:r>
      <w:bookmarkEnd w:id="25"/>
      <w:bookmarkEnd w:id="26"/>
      <w:bookmarkEnd w:id="27"/>
      <w:bookmarkEnd w:id="28"/>
      <w:bookmarkEnd w:id="29"/>
      <w:bookmarkEnd w:id="30"/>
      <w:bookmarkEnd w:id="31"/>
      <w:bookmarkEnd w:id="32"/>
      <w:bookmarkEnd w:id="33"/>
      <w:bookmarkEnd w:id="34"/>
    </w:p>
    <w:p w14:paraId="653E9F2C">
      <w:pPr>
        <w:pStyle w:val="56"/>
        <w:ind w:firstLine="420"/>
        <w:rPr>
          <w:rFonts w:hint="eastAsia"/>
        </w:rPr>
      </w:pPr>
      <w:bookmarkStart w:id="35" w:name="_Toc17233326"/>
      <w:bookmarkStart w:id="36" w:name="_Toc24884212"/>
      <w:bookmarkStart w:id="37" w:name="_Toc26648466"/>
      <w:bookmarkStart w:id="38" w:name="_Toc24884219"/>
      <w:bookmarkStart w:id="39" w:name="_Toc17233334"/>
      <w:r>
        <w:rPr>
          <w:rFonts w:hint="eastAsia"/>
        </w:rPr>
        <w:t>本文件规定了地震断层土壤气观测台站建设的站址勘选、观测孔和观测室建设、设备配置和资料归档的技术要求。</w:t>
      </w:r>
    </w:p>
    <w:p w14:paraId="59102373">
      <w:pPr>
        <w:pStyle w:val="56"/>
        <w:ind w:firstLine="420"/>
      </w:pPr>
      <w:r>
        <w:rPr>
          <w:rFonts w:hint="eastAsia"/>
        </w:rPr>
        <w:t>本文件适用于地震断层土壤气观测台站建设。</w:t>
      </w:r>
    </w:p>
    <w:p w14:paraId="5B2CCECA">
      <w:pPr>
        <w:pStyle w:val="104"/>
        <w:spacing w:before="312" w:after="312"/>
      </w:pPr>
      <w:bookmarkStart w:id="40" w:name="_Toc26986531"/>
      <w:bookmarkStart w:id="41" w:name="_Toc26986772"/>
      <w:bookmarkStart w:id="42" w:name="_Toc3858"/>
      <w:bookmarkStart w:id="43" w:name="_Toc26718931"/>
      <w:bookmarkStart w:id="44" w:name="_Toc97191424"/>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DC0633F243CC48C2B2BEEE200A9AF97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105F751">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CDAEDC4">
      <w:pPr>
        <w:pStyle w:val="56"/>
        <w:ind w:firstLine="420"/>
        <w:rPr>
          <w:rFonts w:hint="eastAsia"/>
        </w:rPr>
      </w:pPr>
      <w:r>
        <w:rPr>
          <w:rFonts w:hint="eastAsia"/>
        </w:rPr>
        <w:t>GB</w:t>
      </w:r>
      <w:r>
        <w:t xml:space="preserve"> </w:t>
      </w:r>
      <w:r>
        <w:rPr>
          <w:rFonts w:hint="eastAsia"/>
        </w:rPr>
        <w:t>50011  建筑抗震设计规范</w:t>
      </w:r>
    </w:p>
    <w:p w14:paraId="3CEDD9C2">
      <w:pPr>
        <w:pStyle w:val="56"/>
        <w:ind w:firstLine="420"/>
      </w:pPr>
      <w:r>
        <w:rPr>
          <w:rFonts w:hint="eastAsia"/>
        </w:rPr>
        <w:t>DB/T 68  地震台站综合防雷</w:t>
      </w:r>
    </w:p>
    <w:p w14:paraId="0BC7C092">
      <w:pPr>
        <w:pStyle w:val="104"/>
        <w:spacing w:before="312" w:after="312"/>
      </w:pPr>
      <w:bookmarkStart w:id="45" w:name="_Toc97191425"/>
      <w:bookmarkStart w:id="46" w:name="_Toc17097"/>
      <w:r>
        <w:rPr>
          <w:rFonts w:hint="eastAsia"/>
          <w:szCs w:val="21"/>
        </w:rPr>
        <w:t>术语和定义</w:t>
      </w:r>
      <w:bookmarkEnd w:id="45"/>
      <w:bookmarkEnd w:id="46"/>
    </w:p>
    <w:sdt>
      <w:sdtPr>
        <w:id w:val="-1909835108"/>
        <w:placeholder>
          <w:docPart w:val="ED975E5FE2164DFE9F2950F324703DD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9335365">
          <w:pPr>
            <w:pStyle w:val="56"/>
            <w:ind w:firstLine="420"/>
          </w:pPr>
          <w:bookmarkStart w:id="47" w:name="_Toc26986532"/>
          <w:bookmarkEnd w:id="47"/>
          <w:r>
            <w:t>下列术语和定义适用于本文件。</w:t>
          </w:r>
        </w:p>
      </w:sdtContent>
    </w:sdt>
    <w:p w14:paraId="2A7E5940">
      <w:pPr>
        <w:pStyle w:val="223"/>
        <w:ind w:left="420" w:hanging="420" w:hangingChars="200"/>
        <w:rPr>
          <w:rFonts w:ascii="Times New Roman" w:eastAsia="黑体"/>
        </w:rPr>
      </w:pPr>
      <w:r>
        <w:rPr>
          <w:rFonts w:ascii="黑体" w:hAnsi="黑体" w:eastAsia="黑体"/>
        </w:rPr>
        <w:br w:type="textWrapping"/>
      </w:r>
      <w:r>
        <w:rPr>
          <w:rFonts w:hint="eastAsia" w:ascii="黑体" w:hAnsi="黑体" w:eastAsia="黑体"/>
        </w:rPr>
        <w:t>断层土</w:t>
      </w:r>
      <w:r>
        <w:rPr>
          <w:rFonts w:ascii="Times New Roman" w:eastAsia="黑体"/>
        </w:rPr>
        <w:t>壤气  fault soil gas</w:t>
      </w:r>
    </w:p>
    <w:p w14:paraId="4C32B0E2">
      <w:pPr>
        <w:pStyle w:val="56"/>
        <w:ind w:firstLine="420"/>
        <w:rPr>
          <w:rFonts w:ascii="Times New Roman"/>
        </w:rPr>
      </w:pPr>
      <w:r>
        <w:rPr>
          <w:rFonts w:ascii="Times New Roman"/>
        </w:rPr>
        <w:t>从断层土壤中逸出的气体，包括氡气（Rn）、汞气（Hg）、氢气（H</w:t>
      </w:r>
      <w:r>
        <w:rPr>
          <w:rFonts w:ascii="Times New Roman"/>
          <w:vertAlign w:val="subscript"/>
        </w:rPr>
        <w:t>2</w:t>
      </w:r>
      <w:r>
        <w:rPr>
          <w:rFonts w:ascii="Times New Roman"/>
        </w:rPr>
        <w:t>）、二氧化碳（CO</w:t>
      </w:r>
      <w:r>
        <w:rPr>
          <w:rFonts w:ascii="Times New Roman"/>
          <w:vertAlign w:val="subscript"/>
        </w:rPr>
        <w:t>2</w:t>
      </w:r>
      <w:r>
        <w:rPr>
          <w:rFonts w:ascii="Times New Roman"/>
        </w:rPr>
        <w:t>）等。</w:t>
      </w:r>
    </w:p>
    <w:p w14:paraId="318568AB">
      <w:pPr>
        <w:pStyle w:val="223"/>
        <w:ind w:left="420" w:hanging="420" w:hangingChars="200"/>
        <w:rPr>
          <w:rFonts w:ascii="Times New Roman" w:eastAsia="黑体"/>
        </w:rPr>
      </w:pPr>
      <w:r>
        <w:rPr>
          <w:rFonts w:ascii="Times New Roman" w:eastAsia="黑体"/>
        </w:rPr>
        <w:br w:type="textWrapping"/>
      </w:r>
      <w:r>
        <w:rPr>
          <w:rFonts w:ascii="Times New Roman" w:eastAsia="黑体"/>
        </w:rPr>
        <w:t>高值区间  high value area</w:t>
      </w:r>
    </w:p>
    <w:p w14:paraId="660D331F">
      <w:pPr>
        <w:pStyle w:val="56"/>
        <w:ind w:firstLine="420"/>
        <w:rPr>
          <w:rFonts w:ascii="Times New Roman"/>
        </w:rPr>
      </w:pPr>
      <w:r>
        <w:rPr>
          <w:rFonts w:ascii="Times New Roman"/>
        </w:rPr>
        <w:t>断层土壤气浓度高于异常下限的区域。通常用背景平均值加上两倍或三倍标准差作为异常下限。</w:t>
      </w:r>
    </w:p>
    <w:p w14:paraId="08B3AD43">
      <w:pPr>
        <w:pStyle w:val="223"/>
        <w:ind w:left="420" w:hanging="420" w:hangingChars="200"/>
        <w:rPr>
          <w:rFonts w:ascii="Times New Roman" w:eastAsia="黑体"/>
        </w:rPr>
      </w:pPr>
      <w:r>
        <w:rPr>
          <w:rFonts w:ascii="Times New Roman" w:eastAsia="黑体"/>
        </w:rPr>
        <w:br w:type="textWrapping"/>
      </w:r>
      <w:r>
        <w:rPr>
          <w:rFonts w:ascii="Times New Roman" w:eastAsia="黑体"/>
        </w:rPr>
        <w:t>观测孔  fault soil gas observation well</w:t>
      </w:r>
    </w:p>
    <w:p w14:paraId="700A8F9F">
      <w:pPr>
        <w:pStyle w:val="56"/>
        <w:ind w:firstLine="420"/>
        <w:rPr>
          <w:rFonts w:ascii="Times New Roman"/>
        </w:rPr>
      </w:pPr>
      <w:r>
        <w:rPr>
          <w:rFonts w:ascii="Times New Roman"/>
        </w:rPr>
        <w:t>用于断层土壤气浓度观测的钻孔。</w:t>
      </w:r>
    </w:p>
    <w:p w14:paraId="60048E9E">
      <w:pPr>
        <w:pStyle w:val="223"/>
        <w:ind w:left="420" w:hanging="420" w:hangingChars="200"/>
        <w:rPr>
          <w:rFonts w:ascii="Times New Roman" w:eastAsia="黑体"/>
        </w:rPr>
      </w:pPr>
      <w:r>
        <w:rPr>
          <w:rFonts w:ascii="Times New Roman" w:eastAsia="黑体"/>
        </w:rPr>
        <w:br w:type="textWrapping"/>
      </w:r>
      <w:r>
        <w:rPr>
          <w:rFonts w:ascii="Times New Roman" w:eastAsia="黑体"/>
        </w:rPr>
        <w:t>观测室  observation room</w:t>
      </w:r>
    </w:p>
    <w:p w14:paraId="29E021F6">
      <w:pPr>
        <w:pStyle w:val="56"/>
        <w:ind w:firstLine="420"/>
        <w:rPr>
          <w:rFonts w:ascii="Times New Roman"/>
        </w:rPr>
      </w:pPr>
      <w:r>
        <w:rPr>
          <w:rFonts w:ascii="Times New Roman"/>
        </w:rPr>
        <w:t>安装观测仪器设备开展观测的工作间。</w:t>
      </w:r>
    </w:p>
    <w:p w14:paraId="18055861">
      <w:pPr>
        <w:pStyle w:val="104"/>
        <w:spacing w:before="312" w:after="312"/>
        <w:rPr>
          <w:rFonts w:hint="eastAsia"/>
        </w:rPr>
      </w:pPr>
      <w:bookmarkStart w:id="48" w:name="_Toc4298"/>
      <w:r>
        <w:rPr>
          <w:rFonts w:hint="eastAsia"/>
        </w:rPr>
        <w:t>站址勘选</w:t>
      </w:r>
      <w:bookmarkEnd w:id="48"/>
    </w:p>
    <w:p w14:paraId="201C402E">
      <w:pPr>
        <w:pStyle w:val="105"/>
        <w:spacing w:before="156" w:after="156"/>
        <w:rPr>
          <w:rFonts w:ascii="Times New Roman"/>
        </w:rPr>
      </w:pPr>
      <w:r>
        <w:rPr>
          <w:rFonts w:hint="eastAsia"/>
        </w:rPr>
        <w:t>基</w:t>
      </w:r>
      <w:r>
        <w:rPr>
          <w:rFonts w:ascii="Times New Roman"/>
        </w:rPr>
        <w:t>本要求</w:t>
      </w:r>
    </w:p>
    <w:p w14:paraId="76D6EE5D">
      <w:pPr>
        <w:pStyle w:val="165"/>
        <w:rPr>
          <w:rFonts w:ascii="Times New Roman"/>
        </w:rPr>
      </w:pPr>
      <w:r>
        <w:rPr>
          <w:rFonts w:ascii="Times New Roman"/>
        </w:rPr>
        <w:t>断层土壤气观测台站场址选择应考虑到当地国民经济建设和社会发展的长远规划及其有可能对观测环境造成影响的因素，选择有利于观测孔长期保存和观测的场地。</w:t>
      </w:r>
    </w:p>
    <w:p w14:paraId="2E8354D5">
      <w:pPr>
        <w:pStyle w:val="165"/>
        <w:rPr>
          <w:rFonts w:ascii="Times New Roman"/>
        </w:rPr>
      </w:pPr>
      <w:r>
        <w:rPr>
          <w:rFonts w:ascii="Times New Roman"/>
        </w:rPr>
        <w:t>观测场地应具备开展正常断层土壤气观测工作所需的电力、通讯和交通等条件。</w:t>
      </w:r>
    </w:p>
    <w:p w14:paraId="7F5A2A58">
      <w:pPr>
        <w:pStyle w:val="105"/>
        <w:spacing w:before="156" w:after="156"/>
        <w:rPr>
          <w:rFonts w:ascii="Times New Roman"/>
        </w:rPr>
      </w:pPr>
      <w:r>
        <w:rPr>
          <w:rFonts w:ascii="Times New Roman"/>
        </w:rPr>
        <w:t>地质构造</w:t>
      </w:r>
    </w:p>
    <w:p w14:paraId="4117704C">
      <w:pPr>
        <w:pStyle w:val="56"/>
        <w:ind w:firstLine="420"/>
        <w:rPr>
          <w:rFonts w:ascii="Times New Roman"/>
        </w:rPr>
      </w:pPr>
      <w:r>
        <w:rPr>
          <w:rFonts w:ascii="Times New Roman"/>
        </w:rPr>
        <w:t>选取观测场地应基于地质调查、地球物理勘探工作的基础上进行，掌握区域水文地质、活动断层的空间分布情况，观测场地应选择在活动断裂及其破碎带上，宜建在干旱、地势较高、地下水埋藏较深、人为干扰较小的地区。</w:t>
      </w:r>
    </w:p>
    <w:p w14:paraId="3B3BF70A">
      <w:pPr>
        <w:pStyle w:val="105"/>
        <w:spacing w:before="156" w:after="156"/>
        <w:rPr>
          <w:rFonts w:ascii="Times New Roman"/>
        </w:rPr>
      </w:pPr>
      <w:r>
        <w:rPr>
          <w:rFonts w:ascii="Times New Roman"/>
        </w:rPr>
        <w:t>地形地貌</w:t>
      </w:r>
    </w:p>
    <w:p w14:paraId="068115E6">
      <w:pPr>
        <w:pStyle w:val="56"/>
        <w:ind w:firstLine="420"/>
        <w:rPr>
          <w:rFonts w:ascii="Times New Roman"/>
        </w:rPr>
      </w:pPr>
      <w:r>
        <w:rPr>
          <w:rFonts w:ascii="Times New Roman"/>
        </w:rPr>
        <w:t>下列地段不宜选作观测场地：</w:t>
      </w:r>
    </w:p>
    <w:p w14:paraId="2131D52D">
      <w:pPr>
        <w:pStyle w:val="132"/>
        <w:rPr>
          <w:rFonts w:ascii="Times New Roman"/>
        </w:rPr>
      </w:pPr>
      <w:r>
        <w:rPr>
          <w:rFonts w:ascii="Times New Roman"/>
        </w:rPr>
        <w:t>地势低洼、易于淹没的地区；</w:t>
      </w:r>
    </w:p>
    <w:p w14:paraId="0FCBD0CE">
      <w:pPr>
        <w:pStyle w:val="132"/>
        <w:rPr>
          <w:rFonts w:ascii="Times New Roman"/>
        </w:rPr>
      </w:pPr>
      <w:r>
        <w:rPr>
          <w:rFonts w:ascii="Times New Roman"/>
        </w:rPr>
        <w:t>河堤、河岸；</w:t>
      </w:r>
    </w:p>
    <w:p w14:paraId="19161DD2">
      <w:pPr>
        <w:pStyle w:val="132"/>
        <w:rPr>
          <w:rFonts w:ascii="Times New Roman"/>
        </w:rPr>
      </w:pPr>
      <w:r>
        <w:rPr>
          <w:rFonts w:ascii="Times New Roman"/>
        </w:rPr>
        <w:t>山洪通道、风口；</w:t>
      </w:r>
    </w:p>
    <w:p w14:paraId="0082B080">
      <w:pPr>
        <w:pStyle w:val="132"/>
        <w:rPr>
          <w:rFonts w:ascii="Times New Roman"/>
        </w:rPr>
      </w:pPr>
      <w:r>
        <w:rPr>
          <w:rFonts w:ascii="Times New Roman"/>
        </w:rPr>
        <w:t>地面强烈沉降区、地面坍塌区。</w:t>
      </w:r>
    </w:p>
    <w:p w14:paraId="30B9BC3F">
      <w:pPr>
        <w:pStyle w:val="105"/>
        <w:spacing w:before="156" w:after="156"/>
        <w:rPr>
          <w:rFonts w:ascii="Times New Roman"/>
        </w:rPr>
      </w:pPr>
      <w:r>
        <w:rPr>
          <w:rFonts w:ascii="Times New Roman"/>
        </w:rPr>
        <w:t>观测环境</w:t>
      </w:r>
    </w:p>
    <w:p w14:paraId="60779AFF">
      <w:pPr>
        <w:pStyle w:val="56"/>
        <w:ind w:firstLine="420"/>
        <w:rPr>
          <w:rFonts w:ascii="Times New Roman"/>
        </w:rPr>
      </w:pPr>
      <w:r>
        <w:rPr>
          <w:rFonts w:ascii="Times New Roman"/>
        </w:rPr>
        <w:t>观测环境应避开水资源的强烈开发区和化学污染区。选定观测点</w:t>
      </w:r>
      <w:r>
        <w:rPr>
          <w:rFonts w:hint="eastAsia" w:ascii="Times New Roman"/>
          <w:lang w:eastAsia="zh-CN"/>
        </w:rPr>
        <w:t>位</w:t>
      </w:r>
      <w:r>
        <w:rPr>
          <w:rFonts w:ascii="Times New Roman"/>
        </w:rPr>
        <w:t>土壤气背景值宜满足以下条件：</w:t>
      </w:r>
    </w:p>
    <w:p w14:paraId="6782135F">
      <w:pPr>
        <w:pStyle w:val="132"/>
        <w:rPr>
          <w:rFonts w:ascii="Times New Roman"/>
        </w:rPr>
      </w:pPr>
      <w:r>
        <w:rPr>
          <w:rFonts w:ascii="Times New Roman"/>
        </w:rPr>
        <w:t>氡气（Rn）浓度背景值大于或等于10Bq/L；</w:t>
      </w:r>
    </w:p>
    <w:p w14:paraId="042E06DF">
      <w:pPr>
        <w:pStyle w:val="132"/>
        <w:rPr>
          <w:rFonts w:ascii="Times New Roman"/>
        </w:rPr>
      </w:pPr>
      <w:r>
        <w:rPr>
          <w:rFonts w:ascii="Times New Roman"/>
        </w:rPr>
        <w:t>汞（Hg）浓度背景值大于或等于20ng/m</w:t>
      </w:r>
      <w:r>
        <w:rPr>
          <w:rFonts w:ascii="Times New Roman"/>
          <w:vertAlign w:val="superscript"/>
        </w:rPr>
        <w:t>3</w:t>
      </w:r>
      <w:r>
        <w:rPr>
          <w:rFonts w:ascii="Times New Roman"/>
        </w:rPr>
        <w:t>；</w:t>
      </w:r>
    </w:p>
    <w:p w14:paraId="74CA46F1">
      <w:pPr>
        <w:pStyle w:val="132"/>
        <w:rPr>
          <w:rFonts w:ascii="Times New Roman"/>
        </w:rPr>
      </w:pPr>
      <w:r>
        <w:rPr>
          <w:rFonts w:ascii="Times New Roman"/>
        </w:rPr>
        <w:t>氢气（H</w:t>
      </w:r>
      <w:r>
        <w:rPr>
          <w:rFonts w:ascii="Times New Roman"/>
          <w:vertAlign w:val="subscript"/>
        </w:rPr>
        <w:t>2</w:t>
      </w:r>
      <w:r>
        <w:rPr>
          <w:rFonts w:ascii="Times New Roman"/>
        </w:rPr>
        <w:t>）浓度背景值大于或等于1ppm；</w:t>
      </w:r>
    </w:p>
    <w:p w14:paraId="0F1072A8">
      <w:pPr>
        <w:pStyle w:val="132"/>
        <w:rPr>
          <w:rFonts w:ascii="Times New Roman"/>
        </w:rPr>
      </w:pPr>
      <w:r>
        <w:rPr>
          <w:rFonts w:ascii="Times New Roman"/>
        </w:rPr>
        <w:t>二氧化碳（CO</w:t>
      </w:r>
      <w:r>
        <w:rPr>
          <w:rFonts w:ascii="Times New Roman"/>
          <w:vertAlign w:val="subscript"/>
        </w:rPr>
        <w:t>2</w:t>
      </w:r>
      <w:r>
        <w:rPr>
          <w:rFonts w:ascii="Times New Roman"/>
        </w:rPr>
        <w:t>）浓度背景值大于或等于0.1%。</w:t>
      </w:r>
    </w:p>
    <w:p w14:paraId="050B481D">
      <w:pPr>
        <w:pStyle w:val="105"/>
        <w:spacing w:before="156" w:after="156"/>
        <w:rPr>
          <w:rFonts w:ascii="Times New Roman"/>
        </w:rPr>
      </w:pPr>
      <w:r>
        <w:rPr>
          <w:rFonts w:ascii="Times New Roman"/>
        </w:rPr>
        <w:t>勘测方法</w:t>
      </w:r>
    </w:p>
    <w:p w14:paraId="1CDA330A">
      <w:pPr>
        <w:pStyle w:val="56"/>
        <w:ind w:firstLine="420"/>
        <w:rPr>
          <w:rFonts w:ascii="Times New Roman"/>
        </w:rPr>
      </w:pPr>
      <w:r>
        <w:rPr>
          <w:rFonts w:ascii="Times New Roman"/>
        </w:rPr>
        <w:t>对选定的场地应进行勘测，测线布设示意图见图1，测量方法示意图见图2，并满足下列要求。</w:t>
      </w:r>
    </w:p>
    <w:p w14:paraId="79E4CA71">
      <w:pPr>
        <w:pStyle w:val="132"/>
        <w:rPr>
          <w:rFonts w:ascii="Times New Roman"/>
        </w:rPr>
      </w:pPr>
      <w:r>
        <w:rPr>
          <w:rFonts w:ascii="Times New Roman"/>
        </w:rPr>
        <w:t>测线的布设应垂直于活动断层走向，测线的长度应横跨活动断层两侧的破碎带，同一场地宜平行设置2～3条测线。</w:t>
      </w:r>
    </w:p>
    <w:p w14:paraId="593739A6">
      <w:pPr>
        <w:pStyle w:val="132"/>
        <w:rPr>
          <w:rFonts w:ascii="Times New Roman"/>
        </w:rPr>
      </w:pPr>
      <w:r>
        <w:rPr>
          <w:rFonts w:ascii="Times New Roman"/>
        </w:rPr>
        <w:t>测线上的测点间隔宜设置为10m，断层土壤气浓度的高值区间测点间隔宜加密到1m～5m，断层破碎带两侧的宜各增加3个测点。每个测点进行3次打孔采样取平均值。每个采样点土壤气采集深度应一致。</w:t>
      </w:r>
    </w:p>
    <w:p w14:paraId="36AB8506">
      <w:pPr>
        <w:pStyle w:val="132"/>
        <w:rPr>
          <w:rFonts w:ascii="Times New Roman"/>
        </w:rPr>
      </w:pPr>
      <w:r>
        <w:rPr>
          <w:rFonts w:ascii="Times New Roman"/>
        </w:rPr>
        <w:t>测线应该在尽量短的时间内完成，使测量过程的气象（温湿度、风速等）条件一致，减少环境变化对测量值的影响，勘测应避开阴雨天，选择土壤干燥的时期。</w:t>
      </w:r>
    </w:p>
    <w:p w14:paraId="3DD024E0">
      <w:pPr>
        <w:pStyle w:val="132"/>
        <w:rPr>
          <w:rFonts w:ascii="Times New Roman"/>
        </w:rPr>
      </w:pPr>
      <w:r>
        <w:rPr>
          <w:rFonts w:ascii="Times New Roman"/>
        </w:rPr>
        <w:t>勘测应采用便携式土壤气测量仪器（便携氡</w:t>
      </w:r>
      <w:r>
        <w:rPr>
          <w:rFonts w:hint="eastAsia" w:ascii="Times New Roman"/>
          <w:lang w:eastAsia="zh-CN"/>
        </w:rPr>
        <w:t>气</w:t>
      </w:r>
      <w:r>
        <w:rPr>
          <w:rFonts w:ascii="Times New Roman"/>
        </w:rPr>
        <w:t>测量仪、便携汞</w:t>
      </w:r>
      <w:r>
        <w:rPr>
          <w:rFonts w:hint="eastAsia" w:ascii="Times New Roman"/>
          <w:lang w:eastAsia="zh-CN"/>
        </w:rPr>
        <w:t>气</w:t>
      </w:r>
      <w:r>
        <w:rPr>
          <w:rFonts w:ascii="Times New Roman"/>
        </w:rPr>
        <w:t>测量仪、便携氢测量仪、便携二氧化碳测量仪等）和锥形采样器。</w:t>
      </w:r>
    </w:p>
    <w:p w14:paraId="1112FF91">
      <w:pPr>
        <w:rPr>
          <w:rFonts w:ascii="Times New Roman"/>
        </w:rPr>
      </w:pPr>
      <w:r>
        <w:rPr>
          <w:rFonts w:ascii="Times New Roman"/>
        </w:rPr>
        <w:br w:type="page"/>
      </w:r>
    </w:p>
    <w:p w14:paraId="376CDAD9">
      <w:pPr>
        <w:pStyle w:val="132"/>
        <w:rPr>
          <w:rFonts w:ascii="Times New Roman"/>
        </w:rPr>
      </w:pPr>
    </w:p>
    <w:p w14:paraId="20E32828">
      <w:pPr>
        <w:pStyle w:val="56"/>
        <w:ind w:firstLine="0" w:firstLineChars="0"/>
        <w:jc w:val="center"/>
        <w:rPr>
          <w:rFonts w:ascii="Times New Roman"/>
        </w:rPr>
      </w:pPr>
      <w:r>
        <w:rPr>
          <w:rFonts w:ascii="Times New Roman"/>
        </w:rPr>
        <w:drawing>
          <wp:inline distT="0" distB="0" distL="0" distR="0">
            <wp:extent cx="4556125" cy="2286635"/>
            <wp:effectExtent l="0" t="0" r="635"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4556125" cy="2286635"/>
                    </a:xfrm>
                    <a:prstGeom prst="rect">
                      <a:avLst/>
                    </a:prstGeom>
                    <a:noFill/>
                    <a:ln>
                      <a:noFill/>
                    </a:ln>
                    <a:effectLst/>
                  </pic:spPr>
                </pic:pic>
              </a:graphicData>
            </a:graphic>
          </wp:inline>
        </w:drawing>
      </w:r>
    </w:p>
    <w:p w14:paraId="24BFF1B1">
      <w:pPr>
        <w:pStyle w:val="114"/>
        <w:spacing w:before="156" w:after="156"/>
        <w:rPr>
          <w:rFonts w:ascii="Times New Roman"/>
        </w:rPr>
      </w:pPr>
      <w:r>
        <w:rPr>
          <w:rFonts w:ascii="Times New Roman"/>
        </w:rPr>
        <w:t>测线布设示意图</w:t>
      </w:r>
    </w:p>
    <w:p w14:paraId="45884F23">
      <w:pPr>
        <w:pStyle w:val="56"/>
        <w:ind w:firstLine="0" w:firstLineChars="0"/>
        <w:jc w:val="center"/>
        <w:rPr>
          <w:rFonts w:ascii="Times New Roman"/>
        </w:rPr>
      </w:pPr>
      <w:r>
        <w:rPr>
          <w:rFonts w:ascii="Times New Roman"/>
        </w:rPr>
        <w:drawing>
          <wp:inline distT="0" distB="0" distL="0" distR="0">
            <wp:extent cx="4812030" cy="2715260"/>
            <wp:effectExtent l="0" t="0" r="3810"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4812030" cy="2715260"/>
                    </a:xfrm>
                    <a:prstGeom prst="rect">
                      <a:avLst/>
                    </a:prstGeom>
                    <a:noFill/>
                    <a:ln>
                      <a:noFill/>
                    </a:ln>
                    <a:effectLst/>
                  </pic:spPr>
                </pic:pic>
              </a:graphicData>
            </a:graphic>
          </wp:inline>
        </w:drawing>
      </w:r>
    </w:p>
    <w:p w14:paraId="1950CBEE">
      <w:pPr>
        <w:pStyle w:val="56"/>
        <w:ind w:firstLine="360"/>
        <w:rPr>
          <w:rFonts w:ascii="Times New Roman" w:eastAsia="黑体"/>
          <w:sz w:val="18"/>
          <w:szCs w:val="18"/>
        </w:rPr>
      </w:pPr>
      <w:r>
        <w:rPr>
          <w:rFonts w:ascii="Times New Roman" w:eastAsia="黑体"/>
          <w:sz w:val="18"/>
          <w:szCs w:val="18"/>
        </w:rPr>
        <w:t>标引序号说明：1——断层土壤气测量仪器；2——锥形采样器。</w:t>
      </w:r>
    </w:p>
    <w:p w14:paraId="4BAC379C">
      <w:pPr>
        <w:pStyle w:val="114"/>
        <w:spacing w:before="156" w:after="156"/>
        <w:rPr>
          <w:rFonts w:ascii="Times New Roman"/>
        </w:rPr>
      </w:pPr>
      <w:r>
        <w:rPr>
          <w:rFonts w:ascii="Times New Roman"/>
        </w:rPr>
        <w:t>测量方法示意图</w:t>
      </w:r>
    </w:p>
    <w:p w14:paraId="120C9B3D">
      <w:pPr>
        <w:pStyle w:val="105"/>
        <w:spacing w:before="156" w:after="156"/>
        <w:rPr>
          <w:rFonts w:ascii="Times New Roman"/>
        </w:rPr>
      </w:pPr>
      <w:r>
        <w:rPr>
          <w:rFonts w:ascii="Times New Roman"/>
        </w:rPr>
        <w:t>确定观测孔位置</w:t>
      </w:r>
    </w:p>
    <w:p w14:paraId="08AC2571">
      <w:pPr>
        <w:pStyle w:val="56"/>
        <w:ind w:firstLine="420"/>
        <w:rPr>
          <w:rFonts w:ascii="Times New Roman"/>
        </w:rPr>
      </w:pPr>
      <w:r>
        <w:rPr>
          <w:rFonts w:ascii="Times New Roman"/>
        </w:rPr>
        <w:t>根据勘测结果，确定断层土壤气浓度的高值区间，断层土壤气观测孔的位置应位于高值区间内。</w:t>
      </w:r>
    </w:p>
    <w:p w14:paraId="4F250EF5">
      <w:pPr>
        <w:pStyle w:val="104"/>
        <w:spacing w:before="312" w:after="312"/>
        <w:rPr>
          <w:rFonts w:ascii="Times New Roman" w:eastAsia="宋体"/>
          <w:color w:val="000000"/>
          <w:kern w:val="1"/>
          <w:szCs w:val="21"/>
        </w:rPr>
      </w:pPr>
      <w:bookmarkStart w:id="49" w:name="_Toc11531"/>
      <w:bookmarkStart w:id="50" w:name="_Toc11487"/>
      <w:r>
        <w:rPr>
          <w:rFonts w:ascii="Times New Roman"/>
        </w:rPr>
        <w:t>观测孔</w:t>
      </w:r>
      <w:bookmarkEnd w:id="49"/>
      <w:bookmarkEnd w:id="50"/>
    </w:p>
    <w:p w14:paraId="5BBB9B9A">
      <w:pPr>
        <w:pStyle w:val="105"/>
        <w:spacing w:before="156" w:after="156"/>
        <w:rPr>
          <w:rFonts w:ascii="Times New Roman"/>
        </w:rPr>
      </w:pPr>
      <w:r>
        <w:rPr>
          <w:rFonts w:ascii="Times New Roman"/>
        </w:rPr>
        <w:t>观测孔结构</w:t>
      </w:r>
    </w:p>
    <w:p w14:paraId="474D518A">
      <w:pPr>
        <w:pStyle w:val="165"/>
        <w:rPr>
          <w:rFonts w:ascii="Times New Roman" w:eastAsia="黑体"/>
        </w:rPr>
      </w:pPr>
      <w:r>
        <w:rPr>
          <w:rFonts w:ascii="Times New Roman"/>
        </w:rPr>
        <w:t>观测孔由集气、引气两个部分组成。集气部分位于观测孔底部，宜用砾石或鹅卵石充填，可采用花管方式（图3）或集气罩方式（图4），集气和引气部分使用的材料应采用吸附很弱或不吸附待测气体的材料。</w:t>
      </w:r>
    </w:p>
    <w:p w14:paraId="7C3DF8DD">
      <w:pPr>
        <w:pStyle w:val="56"/>
        <w:ind w:firstLine="0" w:firstLineChars="0"/>
        <w:jc w:val="center"/>
        <w:rPr>
          <w:rFonts w:ascii="Times New Roman" w:eastAsia="黑体"/>
          <w:sz w:val="28"/>
          <w:szCs w:val="28"/>
        </w:rPr>
      </w:pPr>
      <w:r>
        <w:rPr>
          <w:rFonts w:ascii="Times New Roman"/>
        </w:rPr>
        <w:drawing>
          <wp:inline distT="0" distB="0" distL="0" distR="0">
            <wp:extent cx="3183890" cy="3131820"/>
            <wp:effectExtent l="0" t="0" r="127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3183890" cy="3131820"/>
                    </a:xfrm>
                    <a:prstGeom prst="rect">
                      <a:avLst/>
                    </a:prstGeom>
                    <a:noFill/>
                    <a:ln>
                      <a:noFill/>
                    </a:ln>
                    <a:effectLst/>
                  </pic:spPr>
                </pic:pic>
              </a:graphicData>
            </a:graphic>
          </wp:inline>
        </w:drawing>
      </w:r>
    </w:p>
    <w:p w14:paraId="70813F67">
      <w:pPr>
        <w:pStyle w:val="56"/>
        <w:ind w:firstLine="360"/>
        <w:rPr>
          <w:rFonts w:ascii="Times New Roman" w:eastAsia="黑体"/>
          <w:sz w:val="18"/>
          <w:szCs w:val="18"/>
        </w:rPr>
      </w:pPr>
      <w:r>
        <w:rPr>
          <w:rFonts w:ascii="Times New Roman" w:eastAsia="黑体"/>
          <w:sz w:val="18"/>
          <w:szCs w:val="18"/>
        </w:rPr>
        <w:t>标引序号说明：</w:t>
      </w:r>
    </w:p>
    <w:p w14:paraId="296A3BD8">
      <w:pPr>
        <w:pStyle w:val="56"/>
        <w:ind w:firstLine="360"/>
        <w:rPr>
          <w:rFonts w:ascii="Times New Roman" w:eastAsia="黑体"/>
          <w:sz w:val="18"/>
          <w:szCs w:val="18"/>
        </w:rPr>
      </w:pPr>
      <w:r>
        <w:rPr>
          <w:rFonts w:ascii="Times New Roman" w:eastAsia="黑体"/>
          <w:sz w:val="18"/>
          <w:szCs w:val="18"/>
        </w:rPr>
        <w:t>1——引气管（连接至测量设备）；2——集气管（花管）；3——回填土；</w:t>
      </w:r>
    </w:p>
    <w:p w14:paraId="6B8696D2">
      <w:pPr>
        <w:pStyle w:val="56"/>
        <w:ind w:firstLine="360"/>
        <w:rPr>
          <w:rFonts w:ascii="Times New Roman" w:eastAsia="黑体"/>
          <w:color w:val="000000"/>
          <w:kern w:val="1"/>
          <w:sz w:val="18"/>
          <w:szCs w:val="18"/>
        </w:rPr>
      </w:pPr>
      <w:r>
        <w:rPr>
          <w:rFonts w:ascii="Times New Roman" w:eastAsia="黑体"/>
          <w:sz w:val="18"/>
          <w:szCs w:val="18"/>
        </w:rPr>
        <w:t>4——隔离膜；5——集气层（砾石或鹅卵石）； 6——覆盖层</w:t>
      </w:r>
      <w:r>
        <w:rPr>
          <w:rFonts w:ascii="Times New Roman" w:eastAsia="黑体"/>
          <w:color w:val="000000"/>
          <w:kern w:val="1"/>
          <w:sz w:val="18"/>
          <w:szCs w:val="18"/>
        </w:rPr>
        <w:t>。</w:t>
      </w:r>
    </w:p>
    <w:p w14:paraId="2554EFD3">
      <w:pPr>
        <w:pStyle w:val="114"/>
        <w:spacing w:before="156" w:after="156"/>
        <w:rPr>
          <w:rFonts w:ascii="Times New Roman"/>
        </w:rPr>
      </w:pPr>
      <w:r>
        <w:rPr>
          <w:rFonts w:ascii="Times New Roman"/>
        </w:rPr>
        <w:t>花管方式示意图</w:t>
      </w:r>
    </w:p>
    <w:p w14:paraId="46813D1B">
      <w:pPr>
        <w:pStyle w:val="56"/>
        <w:ind w:firstLine="0" w:firstLineChars="0"/>
        <w:jc w:val="center"/>
        <w:rPr>
          <w:rFonts w:ascii="Times New Roman" w:eastAsia="黑体"/>
          <w:sz w:val="18"/>
          <w:szCs w:val="16"/>
        </w:rPr>
      </w:pPr>
      <w:r>
        <w:rPr>
          <w:rFonts w:ascii="Times New Roman"/>
        </w:rPr>
        <w:drawing>
          <wp:inline distT="0" distB="0" distL="0" distR="0">
            <wp:extent cx="3176270" cy="3131820"/>
            <wp:effectExtent l="0" t="0" r="889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3176270" cy="3131820"/>
                    </a:xfrm>
                    <a:prstGeom prst="rect">
                      <a:avLst/>
                    </a:prstGeom>
                    <a:noFill/>
                    <a:ln>
                      <a:noFill/>
                    </a:ln>
                    <a:effectLst/>
                  </pic:spPr>
                </pic:pic>
              </a:graphicData>
            </a:graphic>
          </wp:inline>
        </w:drawing>
      </w:r>
    </w:p>
    <w:p w14:paraId="67120B46">
      <w:pPr>
        <w:pStyle w:val="56"/>
        <w:ind w:firstLine="360"/>
        <w:rPr>
          <w:rFonts w:ascii="Times New Roman" w:eastAsia="黑体"/>
          <w:sz w:val="18"/>
          <w:szCs w:val="18"/>
        </w:rPr>
      </w:pPr>
      <w:r>
        <w:rPr>
          <w:rFonts w:ascii="Times New Roman" w:eastAsia="黑体"/>
          <w:sz w:val="18"/>
          <w:szCs w:val="18"/>
        </w:rPr>
        <w:t>标引序号说明：</w:t>
      </w:r>
    </w:p>
    <w:p w14:paraId="3A476DCC">
      <w:pPr>
        <w:pStyle w:val="56"/>
        <w:ind w:firstLine="360"/>
        <w:rPr>
          <w:rFonts w:ascii="Times New Roman" w:eastAsia="黑体"/>
          <w:sz w:val="18"/>
          <w:szCs w:val="18"/>
        </w:rPr>
      </w:pPr>
      <w:r>
        <w:rPr>
          <w:rFonts w:ascii="Times New Roman" w:eastAsia="黑体"/>
          <w:sz w:val="18"/>
          <w:szCs w:val="18"/>
        </w:rPr>
        <w:t>1——引气管（连接至测量设备）；2——集气罩；3——回填土；</w:t>
      </w:r>
    </w:p>
    <w:p w14:paraId="614BFE21">
      <w:pPr>
        <w:pStyle w:val="56"/>
        <w:ind w:firstLine="360"/>
        <w:rPr>
          <w:rFonts w:ascii="Times New Roman" w:eastAsia="黑体"/>
          <w:sz w:val="18"/>
          <w:szCs w:val="18"/>
        </w:rPr>
      </w:pPr>
      <w:r>
        <w:rPr>
          <w:rFonts w:ascii="Times New Roman" w:eastAsia="黑体"/>
          <w:sz w:val="18"/>
          <w:szCs w:val="18"/>
        </w:rPr>
        <w:t>4——隔离膜；5——集气层（砾石或鹅卵石）；6——覆盖层。</w:t>
      </w:r>
    </w:p>
    <w:p w14:paraId="3B611BB8">
      <w:pPr>
        <w:pStyle w:val="114"/>
        <w:spacing w:before="156" w:after="156"/>
        <w:rPr>
          <w:rFonts w:ascii="Times New Roman"/>
        </w:rPr>
      </w:pPr>
      <w:r>
        <w:rPr>
          <w:rFonts w:ascii="Times New Roman"/>
        </w:rPr>
        <w:t>集气罩方式示意图</w:t>
      </w:r>
    </w:p>
    <w:p w14:paraId="1771329F">
      <w:pPr>
        <w:pStyle w:val="165"/>
        <w:rPr>
          <w:rFonts w:ascii="Times New Roman"/>
        </w:rPr>
      </w:pPr>
      <w:r>
        <w:rPr>
          <w:rFonts w:ascii="Times New Roman"/>
        </w:rPr>
        <w:t>断层土壤气观测孔的深度应根据场地雨季地下潜水位的高度来确定，观测孔应在雨季地下潜水位之上。遇观测场地地下潜水位较高时，可采用堆土方式（图5），使观测孔上部位于地面之上。</w:t>
      </w:r>
    </w:p>
    <w:p w14:paraId="5E18FEF6">
      <w:pPr>
        <w:pStyle w:val="56"/>
        <w:ind w:firstLine="0" w:firstLineChars="0"/>
        <w:jc w:val="center"/>
        <w:rPr>
          <w:rFonts w:ascii="Times New Roman"/>
        </w:rPr>
      </w:pPr>
    </w:p>
    <w:p w14:paraId="6CAFA9E4">
      <w:pPr>
        <w:pStyle w:val="56"/>
        <w:ind w:firstLine="0" w:firstLineChars="0"/>
        <w:jc w:val="center"/>
        <w:rPr>
          <w:rFonts w:ascii="Times New Roman"/>
        </w:rPr>
      </w:pPr>
      <w:bookmarkStart w:id="60" w:name="_GoBack"/>
      <w:bookmarkEnd w:id="60"/>
      <w:r>
        <w:rPr>
          <w:rFonts w:ascii="Times New Roman"/>
        </w:rPr>
        <w:drawing>
          <wp:inline distT="0" distB="0" distL="0" distR="0">
            <wp:extent cx="3168015" cy="2732405"/>
            <wp:effectExtent l="0" t="0" r="1905" b="1079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3168015" cy="2732405"/>
                    </a:xfrm>
                    <a:prstGeom prst="rect">
                      <a:avLst/>
                    </a:prstGeom>
                    <a:noFill/>
                    <a:ln>
                      <a:noFill/>
                    </a:ln>
                    <a:effectLst/>
                  </pic:spPr>
                </pic:pic>
              </a:graphicData>
            </a:graphic>
          </wp:inline>
        </w:drawing>
      </w:r>
    </w:p>
    <w:p w14:paraId="2A158F82">
      <w:pPr>
        <w:pStyle w:val="56"/>
        <w:ind w:firstLine="360"/>
        <w:rPr>
          <w:rFonts w:ascii="Times New Roman" w:eastAsia="黑体"/>
          <w:sz w:val="18"/>
          <w:szCs w:val="18"/>
        </w:rPr>
      </w:pPr>
      <w:r>
        <w:rPr>
          <w:rFonts w:ascii="Times New Roman" w:eastAsia="黑体"/>
          <w:sz w:val="18"/>
          <w:szCs w:val="18"/>
        </w:rPr>
        <w:t>标引序号说明：</w:t>
      </w:r>
    </w:p>
    <w:p w14:paraId="182F357C">
      <w:pPr>
        <w:pStyle w:val="56"/>
        <w:ind w:firstLine="360"/>
        <w:rPr>
          <w:rFonts w:ascii="Times New Roman" w:eastAsia="黑体"/>
          <w:sz w:val="18"/>
          <w:szCs w:val="18"/>
        </w:rPr>
      </w:pPr>
      <w:r>
        <w:rPr>
          <w:rFonts w:ascii="Times New Roman" w:eastAsia="黑体"/>
          <w:sz w:val="18"/>
          <w:szCs w:val="18"/>
        </w:rPr>
        <w:t>1——地面；2——观测孔；3——地下潜水位。</w:t>
      </w:r>
    </w:p>
    <w:p w14:paraId="6623A5EB">
      <w:pPr>
        <w:pStyle w:val="114"/>
        <w:spacing w:before="156" w:after="156"/>
        <w:rPr>
          <w:rFonts w:ascii="Times New Roman"/>
        </w:rPr>
      </w:pPr>
      <w:r>
        <w:rPr>
          <w:rFonts w:ascii="Times New Roman"/>
        </w:rPr>
        <w:t>堆土集气方式示意图</w:t>
      </w:r>
    </w:p>
    <w:p w14:paraId="00A11A57">
      <w:pPr>
        <w:pStyle w:val="105"/>
        <w:spacing w:before="156" w:after="156"/>
        <w:rPr>
          <w:rFonts w:ascii="Times New Roman"/>
          <w:color w:val="000000"/>
          <w:kern w:val="1"/>
          <w:szCs w:val="21"/>
        </w:rPr>
      </w:pPr>
      <w:r>
        <w:rPr>
          <w:rFonts w:ascii="Times New Roman"/>
        </w:rPr>
        <w:t>观测装置</w:t>
      </w:r>
    </w:p>
    <w:p w14:paraId="3F7C39A5">
      <w:pPr>
        <w:pStyle w:val="165"/>
        <w:rPr>
          <w:rFonts w:ascii="Times New Roman"/>
        </w:rPr>
      </w:pPr>
      <w:r>
        <w:rPr>
          <w:rFonts w:ascii="Times New Roman"/>
        </w:rPr>
        <w:t>观测孔出口气路应做好保温、防水、防护措施，气路应设置吸湿干燥装置。</w:t>
      </w:r>
    </w:p>
    <w:p w14:paraId="1BBC5812">
      <w:pPr>
        <w:pStyle w:val="165"/>
        <w:rPr>
          <w:rFonts w:ascii="Times New Roman"/>
        </w:rPr>
      </w:pPr>
      <w:r>
        <w:rPr>
          <w:rFonts w:ascii="Times New Roman"/>
        </w:rPr>
        <w:t>观测孔集气层体积大于等于1L时，可采用开环测量方式，其示意图见图6；观测孔集气层体积小于1L或断层土壤气浓度测量值过低时，可采用闭环测量方式，其示意图见图7。</w:t>
      </w:r>
    </w:p>
    <w:p w14:paraId="238B6369">
      <w:pPr>
        <w:pStyle w:val="56"/>
        <w:ind w:firstLine="0" w:firstLineChars="0"/>
        <w:jc w:val="center"/>
        <w:rPr>
          <w:rFonts w:ascii="Times New Roman"/>
          <w:color w:val="000000"/>
          <w:kern w:val="1"/>
          <w:szCs w:val="21"/>
        </w:rPr>
      </w:pPr>
      <w:r>
        <w:rPr>
          <w:rFonts w:ascii="Times New Roman"/>
        </w:rPr>
        <w:drawing>
          <wp:inline distT="0" distB="0" distL="0" distR="0">
            <wp:extent cx="3838575" cy="19050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3838575" cy="1905000"/>
                    </a:xfrm>
                    <a:prstGeom prst="rect">
                      <a:avLst/>
                    </a:prstGeom>
                    <a:noFill/>
                    <a:ln>
                      <a:noFill/>
                    </a:ln>
                  </pic:spPr>
                </pic:pic>
              </a:graphicData>
            </a:graphic>
          </wp:inline>
        </w:drawing>
      </w:r>
    </w:p>
    <w:p w14:paraId="357187D1">
      <w:pPr>
        <w:pStyle w:val="56"/>
        <w:ind w:firstLine="360"/>
        <w:rPr>
          <w:rFonts w:ascii="Times New Roman" w:eastAsia="黑体"/>
          <w:sz w:val="18"/>
          <w:szCs w:val="18"/>
        </w:rPr>
      </w:pPr>
      <w:r>
        <w:rPr>
          <w:rFonts w:ascii="Times New Roman" w:eastAsia="黑体"/>
          <w:sz w:val="18"/>
          <w:szCs w:val="18"/>
        </w:rPr>
        <w:t>标引序号说明：</w:t>
      </w:r>
    </w:p>
    <w:p w14:paraId="5F741A24">
      <w:pPr>
        <w:pStyle w:val="56"/>
        <w:ind w:firstLine="360"/>
        <w:rPr>
          <w:rFonts w:ascii="Times New Roman" w:eastAsia="黑体"/>
          <w:sz w:val="18"/>
          <w:szCs w:val="18"/>
        </w:rPr>
      </w:pPr>
      <w:r>
        <w:rPr>
          <w:rFonts w:ascii="Times New Roman" w:eastAsia="黑体"/>
          <w:sz w:val="18"/>
          <w:szCs w:val="18"/>
        </w:rPr>
        <w:t>1——吸湿干燥装置；2——引气管；3——观测孔。</w:t>
      </w:r>
    </w:p>
    <w:p w14:paraId="041BC048">
      <w:pPr>
        <w:pStyle w:val="114"/>
        <w:spacing w:before="156" w:after="156"/>
        <w:rPr>
          <w:rFonts w:ascii="Times New Roman"/>
        </w:rPr>
      </w:pPr>
      <w:r>
        <w:rPr>
          <w:rFonts w:ascii="Times New Roman"/>
        </w:rPr>
        <w:t>开环测量方式示意图</w:t>
      </w:r>
    </w:p>
    <w:p w14:paraId="37AC3E88">
      <w:pPr>
        <w:pStyle w:val="56"/>
        <w:ind w:firstLine="0" w:firstLineChars="0"/>
        <w:jc w:val="center"/>
        <w:rPr>
          <w:rFonts w:ascii="Times New Roman"/>
          <w:color w:val="000000"/>
          <w:kern w:val="1"/>
          <w:szCs w:val="21"/>
        </w:rPr>
      </w:pPr>
      <w:r>
        <w:rPr>
          <w:rFonts w:ascii="Times New Roman"/>
        </w:rPr>
        <w:drawing>
          <wp:inline distT="0" distB="0" distL="0" distR="0">
            <wp:extent cx="3446780" cy="2016125"/>
            <wp:effectExtent l="0" t="0" r="12700" b="1079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3446780" cy="2016125"/>
                    </a:xfrm>
                    <a:prstGeom prst="rect">
                      <a:avLst/>
                    </a:prstGeom>
                    <a:noFill/>
                    <a:ln>
                      <a:noFill/>
                    </a:ln>
                    <a:effectLst/>
                  </pic:spPr>
                </pic:pic>
              </a:graphicData>
            </a:graphic>
          </wp:inline>
        </w:drawing>
      </w:r>
    </w:p>
    <w:p w14:paraId="65E7BFF8">
      <w:pPr>
        <w:pStyle w:val="56"/>
        <w:ind w:firstLine="360"/>
        <w:rPr>
          <w:rFonts w:ascii="Times New Roman" w:eastAsia="黑体"/>
          <w:sz w:val="18"/>
          <w:szCs w:val="18"/>
        </w:rPr>
      </w:pPr>
      <w:r>
        <w:rPr>
          <w:rFonts w:ascii="Times New Roman" w:eastAsia="黑体"/>
          <w:sz w:val="18"/>
          <w:szCs w:val="18"/>
        </w:rPr>
        <w:t>标引序号说明：</w:t>
      </w:r>
    </w:p>
    <w:p w14:paraId="06BC81C3">
      <w:pPr>
        <w:pStyle w:val="56"/>
        <w:ind w:firstLine="360"/>
        <w:rPr>
          <w:rFonts w:ascii="Times New Roman" w:eastAsia="黑体"/>
          <w:sz w:val="18"/>
          <w:szCs w:val="18"/>
        </w:rPr>
      </w:pPr>
      <w:r>
        <w:rPr>
          <w:rFonts w:ascii="Times New Roman" w:eastAsia="黑体"/>
          <w:sz w:val="18"/>
          <w:szCs w:val="18"/>
        </w:rPr>
        <w:t>1——吸湿干燥装置；2——引气管；3——回气管；4——观测孔。</w:t>
      </w:r>
    </w:p>
    <w:p w14:paraId="08CAC233">
      <w:pPr>
        <w:pStyle w:val="114"/>
        <w:spacing w:before="156" w:after="156"/>
        <w:rPr>
          <w:rFonts w:ascii="Times New Roman"/>
        </w:rPr>
      </w:pPr>
      <w:r>
        <w:rPr>
          <w:rFonts w:ascii="Times New Roman"/>
        </w:rPr>
        <w:t>闭环测量方式示意图</w:t>
      </w:r>
    </w:p>
    <w:p w14:paraId="6588E662">
      <w:pPr>
        <w:pStyle w:val="105"/>
        <w:spacing w:before="156" w:after="156"/>
        <w:rPr>
          <w:rFonts w:ascii="Times New Roman"/>
        </w:rPr>
      </w:pPr>
      <w:r>
        <w:rPr>
          <w:rFonts w:ascii="Times New Roman"/>
        </w:rPr>
        <w:t>井口引气管</w:t>
      </w:r>
    </w:p>
    <w:p w14:paraId="4FFB1EDC">
      <w:pPr>
        <w:pStyle w:val="56"/>
        <w:ind w:firstLine="420"/>
        <w:rPr>
          <w:rFonts w:ascii="Times New Roman"/>
        </w:rPr>
      </w:pPr>
      <w:r>
        <w:rPr>
          <w:rFonts w:ascii="Times New Roman"/>
        </w:rPr>
        <w:t>从井口装置出气口至观测仪器进气口之间的连接管长度宜小于2m，宜垂向、自下而上布设，不应折、弯。</w:t>
      </w:r>
    </w:p>
    <w:p w14:paraId="6FDBAEEB">
      <w:pPr>
        <w:pStyle w:val="104"/>
        <w:spacing w:before="312" w:after="312"/>
        <w:rPr>
          <w:rFonts w:ascii="Times New Roman"/>
        </w:rPr>
      </w:pPr>
      <w:bookmarkStart w:id="51" w:name="_Toc16498"/>
      <w:bookmarkStart w:id="52" w:name="_Toc27928"/>
      <w:r>
        <w:rPr>
          <w:rFonts w:ascii="Times New Roman"/>
        </w:rPr>
        <w:t>观测室</w:t>
      </w:r>
      <w:bookmarkEnd w:id="51"/>
      <w:bookmarkEnd w:id="52"/>
    </w:p>
    <w:p w14:paraId="59D254C5">
      <w:pPr>
        <w:pStyle w:val="105"/>
        <w:spacing w:before="156" w:after="156"/>
        <w:rPr>
          <w:rFonts w:ascii="Times New Roman"/>
        </w:rPr>
      </w:pPr>
      <w:r>
        <w:rPr>
          <w:rFonts w:ascii="Times New Roman"/>
        </w:rPr>
        <w:t>一般要求</w:t>
      </w:r>
    </w:p>
    <w:p w14:paraId="750AFCE1">
      <w:pPr>
        <w:pStyle w:val="56"/>
        <w:ind w:firstLine="420"/>
        <w:rPr>
          <w:rFonts w:ascii="Times New Roman"/>
        </w:rPr>
      </w:pPr>
      <w:r>
        <w:rPr>
          <w:rFonts w:ascii="Times New Roman"/>
        </w:rPr>
        <w:t>断层土壤气观测台站宜建观测室，观测孔与仪器室宜一体化建设，建设面积应满足观测孔以及观测设备布置的需要,户外机柜亦可作为一种观测室方案。</w:t>
      </w:r>
    </w:p>
    <w:p w14:paraId="4194327C">
      <w:pPr>
        <w:pStyle w:val="105"/>
        <w:spacing w:before="156" w:after="156"/>
        <w:rPr>
          <w:rFonts w:ascii="Times New Roman"/>
        </w:rPr>
      </w:pPr>
      <w:r>
        <w:rPr>
          <w:rFonts w:ascii="Times New Roman"/>
        </w:rPr>
        <w:t>抗震设防</w:t>
      </w:r>
    </w:p>
    <w:p w14:paraId="6D618481">
      <w:pPr>
        <w:pStyle w:val="56"/>
        <w:ind w:firstLine="420"/>
        <w:rPr>
          <w:rFonts w:ascii="Times New Roman"/>
        </w:rPr>
      </w:pPr>
      <w:r>
        <w:rPr>
          <w:rFonts w:ascii="Times New Roman"/>
        </w:rPr>
        <w:t>新建观测室的抗震设防应按GB 50011乙类建筑要求建设。</w:t>
      </w:r>
    </w:p>
    <w:p w14:paraId="51253150">
      <w:pPr>
        <w:pStyle w:val="105"/>
        <w:spacing w:before="156" w:after="156"/>
        <w:rPr>
          <w:rFonts w:ascii="Times New Roman"/>
        </w:rPr>
      </w:pPr>
      <w:r>
        <w:rPr>
          <w:rFonts w:ascii="Times New Roman"/>
        </w:rPr>
        <w:t>台站防雷</w:t>
      </w:r>
    </w:p>
    <w:p w14:paraId="1AE1ABFF">
      <w:pPr>
        <w:pStyle w:val="56"/>
        <w:ind w:firstLine="420"/>
        <w:rPr>
          <w:rFonts w:ascii="Times New Roman"/>
        </w:rPr>
      </w:pPr>
      <w:r>
        <w:rPr>
          <w:rFonts w:ascii="Times New Roman"/>
        </w:rPr>
        <w:t>观测室、供电系统、信号线路的防雷设施应符合DB/T 68的要求。</w:t>
      </w:r>
    </w:p>
    <w:p w14:paraId="5E90189F">
      <w:pPr>
        <w:pStyle w:val="105"/>
        <w:spacing w:before="156" w:after="156"/>
        <w:rPr>
          <w:rFonts w:ascii="Times New Roman"/>
        </w:rPr>
      </w:pPr>
      <w:r>
        <w:rPr>
          <w:rFonts w:ascii="Times New Roman"/>
        </w:rPr>
        <w:t>台站防护</w:t>
      </w:r>
    </w:p>
    <w:p w14:paraId="590D746F">
      <w:pPr>
        <w:pStyle w:val="56"/>
        <w:ind w:firstLine="420"/>
        <w:rPr>
          <w:rFonts w:ascii="Times New Roman"/>
        </w:rPr>
      </w:pPr>
      <w:r>
        <w:rPr>
          <w:rFonts w:ascii="Times New Roman"/>
        </w:rPr>
        <w:t>观测室应采取防盗、防潮、防尘、防虫等措施。</w:t>
      </w:r>
    </w:p>
    <w:p w14:paraId="7438BD02">
      <w:pPr>
        <w:pStyle w:val="104"/>
        <w:spacing w:before="312" w:after="312"/>
        <w:rPr>
          <w:rFonts w:ascii="Times New Roman"/>
        </w:rPr>
      </w:pPr>
      <w:bookmarkStart w:id="53" w:name="_Toc7407"/>
      <w:bookmarkStart w:id="54" w:name="_Toc804"/>
      <w:r>
        <w:rPr>
          <w:rFonts w:ascii="Times New Roman"/>
        </w:rPr>
        <w:t>设备配置</w:t>
      </w:r>
      <w:bookmarkEnd w:id="53"/>
      <w:bookmarkEnd w:id="54"/>
    </w:p>
    <w:p w14:paraId="3FB7EB24">
      <w:pPr>
        <w:pStyle w:val="105"/>
        <w:spacing w:before="156" w:after="156"/>
        <w:rPr>
          <w:rFonts w:ascii="Times New Roman"/>
        </w:rPr>
      </w:pPr>
      <w:r>
        <w:rPr>
          <w:rFonts w:ascii="Times New Roman"/>
        </w:rPr>
        <w:t>主要测量设备</w:t>
      </w:r>
    </w:p>
    <w:p w14:paraId="0DC48FD6">
      <w:pPr>
        <w:pStyle w:val="165"/>
        <w:rPr>
          <w:rFonts w:ascii="Times New Roman"/>
          <w:kern w:val="2"/>
          <w:szCs w:val="21"/>
        </w:rPr>
      </w:pPr>
      <w:r>
        <w:rPr>
          <w:rFonts w:ascii="Times New Roman"/>
        </w:rPr>
        <w:t>断层土壤气台站根据堪选背景值选择监测设备类型，主要监测设备包括测氡仪、测汞仪、测氢仪、二氧化碳测量仪等。</w:t>
      </w:r>
    </w:p>
    <w:p w14:paraId="48CEAA5B">
      <w:pPr>
        <w:pStyle w:val="165"/>
        <w:rPr>
          <w:rFonts w:ascii="Times New Roman"/>
        </w:rPr>
      </w:pPr>
      <w:r>
        <w:rPr>
          <w:rFonts w:ascii="Times New Roman"/>
        </w:rPr>
        <w:t>测氡仪基本技术指标如下：</w:t>
      </w:r>
    </w:p>
    <w:p w14:paraId="3B6A45F1">
      <w:pPr>
        <w:pStyle w:val="132"/>
        <w:rPr>
          <w:rFonts w:ascii="Times New Roman"/>
        </w:rPr>
      </w:pPr>
      <w:r>
        <w:rPr>
          <w:rFonts w:ascii="Times New Roman"/>
        </w:rPr>
        <w:t>测量范围：0.01 Bq/L～5000 Bq/L；</w:t>
      </w:r>
    </w:p>
    <w:p w14:paraId="770A0311">
      <w:pPr>
        <w:pStyle w:val="132"/>
        <w:rPr>
          <w:rFonts w:ascii="Times New Roman"/>
        </w:rPr>
      </w:pPr>
      <w:r>
        <w:rPr>
          <w:rFonts w:ascii="Times New Roman"/>
        </w:rPr>
        <w:t>重复性：</w:t>
      </w:r>
      <w:r>
        <w:rPr>
          <w:rFonts w:hint="eastAsia" w:ascii="宋体" w:hAnsi="宋体" w:eastAsia="宋体" w:cs="宋体"/>
        </w:rPr>
        <w:t>≤</w:t>
      </w:r>
      <w:r>
        <w:rPr>
          <w:rFonts w:ascii="Times New Roman"/>
        </w:rPr>
        <w:t>10 %；</w:t>
      </w:r>
    </w:p>
    <w:p w14:paraId="56249F2E">
      <w:pPr>
        <w:pStyle w:val="132"/>
        <w:rPr>
          <w:rFonts w:ascii="Times New Roman"/>
        </w:rPr>
      </w:pPr>
      <w:r>
        <w:rPr>
          <w:rFonts w:ascii="Times New Roman"/>
        </w:rPr>
        <w:t>一致性：</w:t>
      </w:r>
      <w:r>
        <w:rPr>
          <w:rFonts w:hint="eastAsia" w:ascii="宋体" w:hAnsi="宋体" w:eastAsia="宋体" w:cs="宋体"/>
        </w:rPr>
        <w:t>≤</w:t>
      </w:r>
      <w:r>
        <w:rPr>
          <w:rFonts w:ascii="Times New Roman"/>
        </w:rPr>
        <w:t>10 %；</w:t>
      </w:r>
    </w:p>
    <w:p w14:paraId="55FB993A">
      <w:pPr>
        <w:pStyle w:val="132"/>
        <w:rPr>
          <w:rFonts w:ascii="Times New Roman"/>
        </w:rPr>
      </w:pPr>
      <w:r>
        <w:rPr>
          <w:rFonts w:ascii="Times New Roman"/>
        </w:rPr>
        <w:t>K值相对误差：</w:t>
      </w:r>
      <w:r>
        <w:rPr>
          <w:rFonts w:hint="eastAsia" w:ascii="宋体" w:hAnsi="宋体" w:eastAsia="宋体" w:cs="宋体"/>
        </w:rPr>
        <w:t>≤</w:t>
      </w:r>
      <w:r>
        <w:rPr>
          <w:rFonts w:ascii="Times New Roman"/>
        </w:rPr>
        <w:t>±5 %；</w:t>
      </w:r>
    </w:p>
    <w:p w14:paraId="30322707">
      <w:pPr>
        <w:pStyle w:val="132"/>
        <w:rPr>
          <w:rFonts w:ascii="Times New Roman"/>
        </w:rPr>
      </w:pPr>
      <w:r>
        <w:rPr>
          <w:rFonts w:ascii="Times New Roman"/>
        </w:rPr>
        <w:t>相对固有误差：</w:t>
      </w:r>
      <w:r>
        <w:rPr>
          <w:rFonts w:hint="eastAsia" w:ascii="宋体" w:hAnsi="宋体" w:eastAsia="宋体" w:cs="宋体"/>
        </w:rPr>
        <w:t>≤</w:t>
      </w:r>
      <w:r>
        <w:rPr>
          <w:rFonts w:ascii="Times New Roman"/>
        </w:rPr>
        <w:t>±15 %；</w:t>
      </w:r>
    </w:p>
    <w:p w14:paraId="0F101309">
      <w:pPr>
        <w:pStyle w:val="132"/>
        <w:rPr>
          <w:rFonts w:ascii="Times New Roman"/>
        </w:rPr>
      </w:pPr>
      <w:r>
        <w:rPr>
          <w:rFonts w:ascii="Times New Roman"/>
        </w:rPr>
        <w:t>灵敏度（闪烁法）：</w:t>
      </w:r>
      <w:r>
        <w:rPr>
          <w:rFonts w:hint="eastAsia" w:ascii="宋体" w:hAnsi="宋体" w:eastAsia="宋体" w:cs="宋体"/>
        </w:rPr>
        <w:t>≥</w:t>
      </w:r>
      <w:r>
        <w:rPr>
          <w:rFonts w:ascii="Times New Roman"/>
        </w:rPr>
        <w:t>90 cpm/Bq/L；</w:t>
      </w:r>
    </w:p>
    <w:p w14:paraId="76B6EB6D">
      <w:pPr>
        <w:pStyle w:val="132"/>
        <w:rPr>
          <w:rFonts w:ascii="Times New Roman"/>
        </w:rPr>
      </w:pPr>
      <w:r>
        <w:rPr>
          <w:rFonts w:ascii="Times New Roman"/>
        </w:rPr>
        <w:t>探测下限（电离法）：</w:t>
      </w:r>
      <w:r>
        <w:rPr>
          <w:rFonts w:hint="eastAsia" w:ascii="宋体" w:hAnsi="宋体" w:eastAsia="宋体" w:cs="宋体"/>
        </w:rPr>
        <w:t>≤</w:t>
      </w:r>
      <w:r>
        <w:rPr>
          <w:rFonts w:ascii="Times New Roman"/>
        </w:rPr>
        <w:t>0.1 Bq/L；</w:t>
      </w:r>
    </w:p>
    <w:p w14:paraId="6272A669">
      <w:pPr>
        <w:pStyle w:val="132"/>
        <w:rPr>
          <w:rFonts w:ascii="Times New Roman"/>
        </w:rPr>
      </w:pPr>
      <w:r>
        <w:rPr>
          <w:rFonts w:ascii="Times New Roman"/>
        </w:rPr>
        <w:t>本底：</w:t>
      </w:r>
    </w:p>
    <w:p w14:paraId="6367070C">
      <w:pPr>
        <w:pStyle w:val="187"/>
        <w:rPr>
          <w:rFonts w:ascii="Times New Roman"/>
        </w:rPr>
      </w:pPr>
      <w:r>
        <w:rPr>
          <w:rFonts w:ascii="Times New Roman"/>
        </w:rPr>
        <w:t>闪烁法：</w:t>
      </w:r>
      <w:r>
        <w:rPr>
          <w:rFonts w:hint="eastAsia" w:ascii="宋体" w:hAnsi="宋体" w:eastAsia="宋体" w:cs="宋体"/>
          <w:sz w:val="21"/>
          <w:lang w:val="en-US" w:eastAsia="zh-CN" w:bidi="ar-SA"/>
        </w:rPr>
        <w:t>≤</w:t>
      </w:r>
      <w:r>
        <w:rPr>
          <w:rFonts w:ascii="Times New Roman"/>
        </w:rPr>
        <w:t>20 计数/min；</w:t>
      </w:r>
    </w:p>
    <w:p w14:paraId="02864FB3">
      <w:pPr>
        <w:pStyle w:val="187"/>
        <w:rPr>
          <w:rFonts w:ascii="Times New Roman"/>
        </w:rPr>
      </w:pPr>
      <w:r>
        <w:rPr>
          <w:rFonts w:ascii="Times New Roman"/>
        </w:rPr>
        <w:t>电离法：</w:t>
      </w:r>
      <w:r>
        <w:rPr>
          <w:rFonts w:hint="eastAsia" w:ascii="宋体" w:hAnsi="宋体" w:eastAsia="宋体" w:cs="宋体"/>
          <w:sz w:val="21"/>
          <w:lang w:val="en-US" w:eastAsia="zh-CN" w:bidi="ar-SA"/>
        </w:rPr>
        <w:t>≤</w:t>
      </w:r>
      <w:r>
        <w:rPr>
          <w:rFonts w:ascii="Times New Roman"/>
        </w:rPr>
        <w:t>0.05 Bq/L。</w:t>
      </w:r>
    </w:p>
    <w:p w14:paraId="75AC2E90">
      <w:pPr>
        <w:pStyle w:val="165"/>
        <w:rPr>
          <w:rFonts w:ascii="Times New Roman"/>
        </w:rPr>
      </w:pPr>
      <w:r>
        <w:rPr>
          <w:rFonts w:ascii="Times New Roman"/>
        </w:rPr>
        <w:t>测汞仪基本技术指标如下：</w:t>
      </w:r>
    </w:p>
    <w:p w14:paraId="69832E6B">
      <w:pPr>
        <w:pStyle w:val="132"/>
        <w:rPr>
          <w:rFonts w:ascii="Times New Roman"/>
        </w:rPr>
      </w:pPr>
      <w:r>
        <w:rPr>
          <w:rFonts w:ascii="Times New Roman"/>
        </w:rPr>
        <w:t>测量下限：5 ng/m</w:t>
      </w:r>
      <w:r>
        <w:rPr>
          <w:rFonts w:ascii="Times New Roman"/>
          <w:vertAlign w:val="superscript"/>
        </w:rPr>
        <w:t>3</w:t>
      </w:r>
      <w:r>
        <w:rPr>
          <w:rFonts w:ascii="Times New Roman"/>
        </w:rPr>
        <w:t>；</w:t>
      </w:r>
    </w:p>
    <w:p w14:paraId="6898A333">
      <w:pPr>
        <w:pStyle w:val="132"/>
        <w:rPr>
          <w:rFonts w:ascii="Times New Roman"/>
        </w:rPr>
      </w:pPr>
      <w:r>
        <w:rPr>
          <w:rFonts w:ascii="Times New Roman"/>
        </w:rPr>
        <w:t>准确度：</w:t>
      </w:r>
      <w:r>
        <w:rPr>
          <w:rFonts w:hint="eastAsia" w:ascii="宋体" w:hAnsi="宋体" w:eastAsia="宋体" w:cs="宋体"/>
        </w:rPr>
        <w:t>≤</w:t>
      </w:r>
      <w:r>
        <w:rPr>
          <w:rFonts w:hint="eastAsia" w:ascii="Times New Roman"/>
        </w:rPr>
        <w:t>1</w:t>
      </w:r>
      <w:r>
        <w:rPr>
          <w:rFonts w:ascii="Times New Roman"/>
        </w:rPr>
        <w:t>0 %；</w:t>
      </w:r>
    </w:p>
    <w:p w14:paraId="42B9BDAF">
      <w:pPr>
        <w:pStyle w:val="132"/>
        <w:rPr>
          <w:rFonts w:ascii="Times New Roman"/>
        </w:rPr>
      </w:pPr>
      <w:r>
        <w:rPr>
          <w:rFonts w:ascii="Times New Roman"/>
        </w:rPr>
        <w:t>重复性：</w:t>
      </w:r>
      <w:r>
        <w:rPr>
          <w:rFonts w:hint="eastAsia" w:ascii="宋体" w:hAnsi="宋体" w:eastAsia="宋体" w:cs="宋体"/>
        </w:rPr>
        <w:t>≤</w:t>
      </w:r>
      <w:r>
        <w:rPr>
          <w:rFonts w:ascii="Times New Roman"/>
        </w:rPr>
        <w:t>5 %；</w:t>
      </w:r>
    </w:p>
    <w:p w14:paraId="6AAEBA76">
      <w:pPr>
        <w:pStyle w:val="132"/>
        <w:rPr>
          <w:rFonts w:ascii="Times New Roman"/>
        </w:rPr>
      </w:pPr>
      <w:r>
        <w:rPr>
          <w:rFonts w:ascii="Times New Roman"/>
        </w:rPr>
        <w:t>稳定性：</w:t>
      </w:r>
      <w:r>
        <w:rPr>
          <w:rFonts w:hint="eastAsia" w:ascii="宋体" w:hAnsi="宋体" w:eastAsia="宋体" w:cs="宋体"/>
        </w:rPr>
        <w:t>≤</w:t>
      </w:r>
      <w:r>
        <w:rPr>
          <w:rFonts w:ascii="Times New Roman"/>
        </w:rPr>
        <w:t>15 %；</w:t>
      </w:r>
    </w:p>
    <w:p w14:paraId="4C34438B">
      <w:pPr>
        <w:pStyle w:val="132"/>
        <w:rPr>
          <w:rFonts w:ascii="Times New Roman"/>
        </w:rPr>
      </w:pPr>
      <w:r>
        <w:rPr>
          <w:rFonts w:ascii="Times New Roman"/>
        </w:rPr>
        <w:t>线性误差（R2）：≥0.995。</w:t>
      </w:r>
    </w:p>
    <w:p w14:paraId="0C0FFCF2">
      <w:pPr>
        <w:pStyle w:val="165"/>
        <w:rPr>
          <w:rFonts w:ascii="Times New Roman"/>
        </w:rPr>
      </w:pPr>
      <w:r>
        <w:rPr>
          <w:rFonts w:ascii="Times New Roman"/>
        </w:rPr>
        <w:t>测氢仪基本技术指标要求如下：</w:t>
      </w:r>
    </w:p>
    <w:p w14:paraId="5C679466">
      <w:pPr>
        <w:pStyle w:val="132"/>
        <w:rPr>
          <w:rFonts w:ascii="Times New Roman"/>
        </w:rPr>
      </w:pPr>
      <w:r>
        <w:rPr>
          <w:rFonts w:ascii="Times New Roman"/>
        </w:rPr>
        <w:t>测量范围：0</w:t>
      </w:r>
      <w:r>
        <w:rPr>
          <w:rFonts w:hint="eastAsia" w:ascii="Times New Roman"/>
          <w:lang w:val="en-US" w:eastAsia="zh-CN"/>
        </w:rPr>
        <w:t xml:space="preserve"> </w:t>
      </w:r>
      <w:r>
        <w:rPr>
          <w:rFonts w:ascii="Times New Roman"/>
        </w:rPr>
        <w:t>ppm～5000 ppm；</w:t>
      </w:r>
    </w:p>
    <w:p w14:paraId="0CB4E7A5">
      <w:pPr>
        <w:pStyle w:val="132"/>
        <w:rPr>
          <w:rFonts w:ascii="Times New Roman"/>
        </w:rPr>
      </w:pPr>
      <w:r>
        <w:rPr>
          <w:rFonts w:ascii="Times New Roman"/>
        </w:rPr>
        <w:t>最低检测限：0.2 ppm；</w:t>
      </w:r>
    </w:p>
    <w:p w14:paraId="13276F93">
      <w:pPr>
        <w:pStyle w:val="132"/>
        <w:rPr>
          <w:rFonts w:ascii="Times New Roman"/>
        </w:rPr>
      </w:pPr>
      <w:r>
        <w:rPr>
          <w:rFonts w:ascii="Times New Roman"/>
        </w:rPr>
        <w:t>重复性（RSD）：</w:t>
      </w:r>
      <w:r>
        <w:rPr>
          <w:rFonts w:hint="eastAsia" w:ascii="宋体" w:hAnsi="宋体" w:eastAsia="宋体" w:cs="宋体"/>
        </w:rPr>
        <w:t>≤</w:t>
      </w:r>
      <w:r>
        <w:rPr>
          <w:rFonts w:ascii="Times New Roman"/>
        </w:rPr>
        <w:t>5%；</w:t>
      </w:r>
    </w:p>
    <w:p w14:paraId="6AF00A94">
      <w:pPr>
        <w:pStyle w:val="132"/>
        <w:rPr>
          <w:rFonts w:ascii="Times New Roman"/>
        </w:rPr>
      </w:pPr>
      <w:r>
        <w:rPr>
          <w:rFonts w:ascii="Times New Roman"/>
        </w:rPr>
        <w:t>准确度：</w:t>
      </w:r>
    </w:p>
    <w:p w14:paraId="15D2C81A">
      <w:pPr>
        <w:pStyle w:val="187"/>
        <w:rPr>
          <w:rFonts w:ascii="Times New Roman"/>
          <w:color w:val="000000"/>
          <w:kern w:val="1"/>
          <w:szCs w:val="21"/>
        </w:rPr>
      </w:pPr>
      <w:r>
        <w:rPr>
          <w:rFonts w:ascii="Times New Roman"/>
          <w:color w:val="000000"/>
          <w:kern w:val="1"/>
          <w:szCs w:val="21"/>
        </w:rPr>
        <w:t>测量范围为</w:t>
      </w:r>
      <w:r>
        <w:rPr>
          <w:rFonts w:ascii="Times New Roman"/>
        </w:rPr>
        <w:t>0 ppm～10</w:t>
      </w:r>
      <w:r>
        <w:rPr>
          <w:rFonts w:hint="eastAsia" w:ascii="Times New Roman"/>
          <w:lang w:val="en-US" w:eastAsia="zh-CN"/>
        </w:rPr>
        <w:t xml:space="preserve"> </w:t>
      </w:r>
      <w:r>
        <w:rPr>
          <w:rFonts w:ascii="Times New Roman"/>
        </w:rPr>
        <w:t>ppm ：</w:t>
      </w:r>
      <w:r>
        <w:rPr>
          <w:rFonts w:hint="eastAsia" w:ascii="宋体" w:hAnsi="宋体" w:eastAsia="宋体" w:cs="宋体"/>
          <w:sz w:val="21"/>
          <w:lang w:val="en-US" w:eastAsia="zh-CN" w:bidi="ar-SA"/>
        </w:rPr>
        <w:t>≤</w:t>
      </w:r>
      <w:r>
        <w:rPr>
          <w:rFonts w:ascii="Times New Roman"/>
        </w:rPr>
        <w:t xml:space="preserve"> 20 %；</w:t>
      </w:r>
    </w:p>
    <w:p w14:paraId="52535C7E">
      <w:pPr>
        <w:pStyle w:val="187"/>
        <w:rPr>
          <w:rFonts w:ascii="Times New Roman"/>
        </w:rPr>
      </w:pPr>
      <w:r>
        <w:rPr>
          <w:rFonts w:ascii="Times New Roman"/>
          <w:color w:val="000000"/>
          <w:kern w:val="1"/>
          <w:szCs w:val="21"/>
        </w:rPr>
        <w:t>测量范围为</w:t>
      </w:r>
      <w:r>
        <w:rPr>
          <w:rFonts w:ascii="Times New Roman"/>
        </w:rPr>
        <w:t>10 ppm～100</w:t>
      </w:r>
      <w:r>
        <w:rPr>
          <w:rFonts w:hint="eastAsia" w:ascii="Times New Roman"/>
          <w:lang w:val="en-US" w:eastAsia="zh-CN"/>
        </w:rPr>
        <w:t xml:space="preserve"> </w:t>
      </w:r>
      <w:r>
        <w:rPr>
          <w:rFonts w:ascii="Times New Roman"/>
        </w:rPr>
        <w:t>ppm ：</w:t>
      </w:r>
      <w:r>
        <w:rPr>
          <w:rFonts w:hint="eastAsia" w:ascii="宋体" w:hAnsi="宋体" w:eastAsia="宋体" w:cs="宋体"/>
          <w:sz w:val="21"/>
          <w:lang w:val="en-US" w:eastAsia="zh-CN" w:bidi="ar-SA"/>
        </w:rPr>
        <w:t>≤</w:t>
      </w:r>
      <w:r>
        <w:rPr>
          <w:rFonts w:ascii="Times New Roman"/>
        </w:rPr>
        <w:t xml:space="preserve"> 10 %；</w:t>
      </w:r>
    </w:p>
    <w:p w14:paraId="63103FD0">
      <w:pPr>
        <w:pStyle w:val="187"/>
        <w:rPr>
          <w:rFonts w:ascii="Times New Roman"/>
        </w:rPr>
      </w:pPr>
      <w:r>
        <w:rPr>
          <w:rFonts w:ascii="Times New Roman"/>
          <w:color w:val="000000"/>
          <w:kern w:val="1"/>
          <w:szCs w:val="21"/>
        </w:rPr>
        <w:t>测量范围为</w:t>
      </w:r>
      <w:r>
        <w:rPr>
          <w:rFonts w:ascii="Times New Roman"/>
        </w:rPr>
        <w:t>100 ppm～5000 ppm：</w:t>
      </w:r>
      <w:r>
        <w:rPr>
          <w:rFonts w:hint="eastAsia" w:ascii="宋体" w:hAnsi="宋体" w:eastAsia="宋体" w:cs="宋体"/>
          <w:sz w:val="21"/>
          <w:lang w:val="en-US" w:eastAsia="zh-CN" w:bidi="ar-SA"/>
        </w:rPr>
        <w:t>≤</w:t>
      </w:r>
      <w:r>
        <w:rPr>
          <w:rFonts w:ascii="Times New Roman"/>
        </w:rPr>
        <w:t xml:space="preserve"> 5 %。</w:t>
      </w:r>
    </w:p>
    <w:p w14:paraId="016CF9F0">
      <w:pPr>
        <w:pStyle w:val="165"/>
        <w:rPr>
          <w:rFonts w:ascii="Times New Roman"/>
        </w:rPr>
      </w:pPr>
      <w:r>
        <w:rPr>
          <w:rFonts w:ascii="Times New Roman"/>
        </w:rPr>
        <w:t>二氧化碳测量仪基本技术指标要求如下：</w:t>
      </w:r>
    </w:p>
    <w:p w14:paraId="4CBD2AD4">
      <w:pPr>
        <w:pStyle w:val="132"/>
        <w:rPr>
          <w:rFonts w:ascii="Times New Roman"/>
        </w:rPr>
      </w:pPr>
      <w:r>
        <w:rPr>
          <w:rFonts w:ascii="Times New Roman"/>
          <w:color w:val="000000"/>
        </w:rPr>
        <w:t>示值引用误差</w:t>
      </w:r>
      <w:r>
        <w:rPr>
          <w:rFonts w:ascii="Times New Roman"/>
        </w:rPr>
        <w:t>：</w:t>
      </w:r>
      <w:r>
        <w:rPr>
          <w:rFonts w:hint="eastAsia" w:ascii="宋体" w:hAnsi="宋体" w:eastAsia="宋体" w:cs="宋体"/>
        </w:rPr>
        <w:t>≤</w:t>
      </w:r>
      <w:r>
        <w:rPr>
          <w:rFonts w:ascii="Times New Roman"/>
        </w:rPr>
        <w:t>±2%</w:t>
      </w:r>
      <w:r>
        <w:rPr>
          <w:rFonts w:hint="eastAsia" w:ascii="Times New Roman"/>
          <w:lang w:val="en-US" w:eastAsia="zh-CN"/>
        </w:rPr>
        <w:t xml:space="preserve"> </w:t>
      </w:r>
      <w:r>
        <w:rPr>
          <w:rFonts w:ascii="Times New Roman"/>
        </w:rPr>
        <w:t>FS；</w:t>
      </w:r>
    </w:p>
    <w:p w14:paraId="1020DB2A">
      <w:pPr>
        <w:pStyle w:val="132"/>
        <w:rPr>
          <w:rFonts w:ascii="Times New Roman"/>
          <w:color w:val="000000"/>
        </w:rPr>
      </w:pPr>
      <w:r>
        <w:rPr>
          <w:rFonts w:ascii="Times New Roman"/>
          <w:color w:val="000000"/>
        </w:rPr>
        <w:t>重复性：</w:t>
      </w:r>
      <w:r>
        <w:rPr>
          <w:rFonts w:hint="eastAsia" w:ascii="宋体" w:hAnsi="宋体" w:eastAsia="宋体" w:cs="宋体"/>
        </w:rPr>
        <w:t>≤</w:t>
      </w:r>
      <w:r>
        <w:rPr>
          <w:rFonts w:ascii="Times New Roman"/>
          <w:color w:val="000000"/>
        </w:rPr>
        <w:t>1%；</w:t>
      </w:r>
    </w:p>
    <w:p w14:paraId="57849886">
      <w:pPr>
        <w:pStyle w:val="132"/>
        <w:rPr>
          <w:rFonts w:ascii="Times New Roman"/>
          <w:color w:val="000000"/>
        </w:rPr>
      </w:pPr>
      <w:r>
        <w:rPr>
          <w:rFonts w:ascii="Times New Roman"/>
          <w:color w:val="000000"/>
        </w:rPr>
        <w:t>稳定性：</w:t>
      </w:r>
      <w:r>
        <w:rPr>
          <w:rFonts w:hint="eastAsia" w:ascii="宋体" w:hAnsi="宋体" w:eastAsia="宋体" w:cs="宋体"/>
        </w:rPr>
        <w:t>≤</w:t>
      </w:r>
      <w:r>
        <w:rPr>
          <w:rFonts w:ascii="Times New Roman"/>
          <w:color w:val="000000"/>
        </w:rPr>
        <w:t>±2% FS；</w:t>
      </w:r>
    </w:p>
    <w:p w14:paraId="14DC2459">
      <w:pPr>
        <w:pStyle w:val="132"/>
        <w:rPr>
          <w:rFonts w:ascii="Times New Roman"/>
          <w:color w:val="000000"/>
        </w:rPr>
      </w:pPr>
      <w:r>
        <w:rPr>
          <w:rFonts w:ascii="Times New Roman"/>
          <w:color w:val="000000"/>
        </w:rPr>
        <w:t>干扰误差：</w:t>
      </w:r>
    </w:p>
    <w:p w14:paraId="5C6B31BD">
      <w:pPr>
        <w:pStyle w:val="187"/>
        <w:rPr>
          <w:rFonts w:ascii="Times New Roman"/>
        </w:rPr>
      </w:pPr>
      <w:r>
        <w:rPr>
          <w:rFonts w:ascii="Times New Roman"/>
        </w:rPr>
        <w:t>水蒸气干扰误差：</w:t>
      </w:r>
      <w:r>
        <w:rPr>
          <w:rFonts w:hint="eastAsia" w:ascii="宋体" w:hAnsi="宋体" w:eastAsia="宋体" w:cs="宋体"/>
          <w:sz w:val="21"/>
          <w:lang w:val="en-US" w:eastAsia="zh-CN" w:bidi="ar-SA"/>
        </w:rPr>
        <w:t>≤</w:t>
      </w:r>
      <w:r>
        <w:rPr>
          <w:rFonts w:ascii="Times New Roman"/>
        </w:rPr>
        <w:t>±2% FS；</w:t>
      </w:r>
    </w:p>
    <w:p w14:paraId="175FFD79">
      <w:pPr>
        <w:pStyle w:val="187"/>
        <w:rPr>
          <w:rFonts w:ascii="Times New Roman"/>
        </w:rPr>
      </w:pPr>
      <w:r>
        <w:rPr>
          <w:rFonts w:ascii="Times New Roman"/>
        </w:rPr>
        <w:t>非被测组分（不含水蒸气）干扰误差：</w:t>
      </w:r>
      <w:r>
        <w:rPr>
          <w:rFonts w:hint="eastAsia" w:ascii="宋体" w:hAnsi="宋体" w:eastAsia="宋体" w:cs="宋体"/>
          <w:sz w:val="21"/>
          <w:lang w:val="en-US" w:eastAsia="zh-CN" w:bidi="ar-SA"/>
        </w:rPr>
        <w:t>≤</w:t>
      </w:r>
      <w:r>
        <w:rPr>
          <w:rFonts w:ascii="Times New Roman"/>
        </w:rPr>
        <w:t>±2% FS；</w:t>
      </w:r>
    </w:p>
    <w:p w14:paraId="588BCE51">
      <w:pPr>
        <w:pStyle w:val="132"/>
        <w:rPr>
          <w:rFonts w:ascii="Times New Roman"/>
        </w:rPr>
      </w:pPr>
      <w:r>
        <w:rPr>
          <w:rFonts w:ascii="Times New Roman"/>
        </w:rPr>
        <w:t>响应时间：</w:t>
      </w:r>
      <w:r>
        <w:rPr>
          <w:rFonts w:hint="eastAsia" w:ascii="宋体" w:hAnsi="宋体" w:eastAsia="宋体" w:cs="宋体"/>
        </w:rPr>
        <w:t>≤</w:t>
      </w:r>
      <w:r>
        <w:rPr>
          <w:rFonts w:ascii="Times New Roman"/>
        </w:rPr>
        <w:t>60</w:t>
      </w:r>
      <w:r>
        <w:rPr>
          <w:rFonts w:hint="eastAsia" w:ascii="Times New Roman"/>
          <w:lang w:val="en-US" w:eastAsia="zh-CN"/>
        </w:rPr>
        <w:t xml:space="preserve"> </w:t>
      </w:r>
      <w:r>
        <w:rPr>
          <w:rFonts w:ascii="Times New Roman"/>
        </w:rPr>
        <w:t>s；</w:t>
      </w:r>
    </w:p>
    <w:p w14:paraId="0676DE95">
      <w:pPr>
        <w:pStyle w:val="132"/>
        <w:rPr>
          <w:rFonts w:ascii="Times New Roman" w:eastAsia="仿宋"/>
          <w:szCs w:val="21"/>
          <w:lang w:bidi="ar"/>
        </w:rPr>
      </w:pPr>
      <w:r>
        <w:rPr>
          <w:rFonts w:ascii="Times New Roman"/>
        </w:rPr>
        <w:t>量程范围：0～100</w:t>
      </w:r>
      <w:r>
        <w:rPr>
          <w:rFonts w:hint="eastAsia" w:ascii="Times New Roman"/>
          <w:lang w:val="en-US" w:eastAsia="zh-CN"/>
        </w:rPr>
        <w:t xml:space="preserve"> </w:t>
      </w:r>
      <w:r>
        <w:rPr>
          <w:rFonts w:ascii="Times New Roman"/>
        </w:rPr>
        <w:t>%（可选）</w:t>
      </w:r>
      <w:r>
        <w:rPr>
          <w:rFonts w:ascii="Times New Roman" w:eastAsia="仿宋"/>
          <w:szCs w:val="21"/>
          <w:lang w:bidi="ar"/>
        </w:rPr>
        <w:t>。</w:t>
      </w:r>
    </w:p>
    <w:p w14:paraId="1945B5D9">
      <w:pPr>
        <w:pStyle w:val="105"/>
        <w:spacing w:before="156" w:after="156"/>
        <w:rPr>
          <w:rFonts w:ascii="Times New Roman"/>
        </w:rPr>
      </w:pPr>
      <w:r>
        <w:rPr>
          <w:rFonts w:ascii="Times New Roman"/>
        </w:rPr>
        <w:t>辅助测量设备</w:t>
      </w:r>
    </w:p>
    <w:p w14:paraId="225E16C2">
      <w:pPr>
        <w:pStyle w:val="56"/>
        <w:ind w:firstLine="420"/>
        <w:rPr>
          <w:rFonts w:ascii="Times New Roman"/>
        </w:rPr>
      </w:pPr>
      <w:r>
        <w:rPr>
          <w:rFonts w:ascii="Times New Roman"/>
        </w:rPr>
        <w:t>辅助测量设备主要包括地温仪、气温仪、气压仪、雨量计等，主要技术指标、功能与用途见表1。</w:t>
      </w:r>
    </w:p>
    <w:p w14:paraId="0E9BCA8D">
      <w:pPr>
        <w:pStyle w:val="112"/>
        <w:spacing w:before="156" w:after="156"/>
        <w:rPr>
          <w:rFonts w:ascii="Times New Roman"/>
        </w:rPr>
      </w:pPr>
      <w:r>
        <w:rPr>
          <w:rFonts w:ascii="Times New Roman"/>
        </w:rPr>
        <w:t>辅助测量设备</w:t>
      </w:r>
    </w:p>
    <w:tbl>
      <w:tblPr>
        <w:tblStyle w:val="27"/>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95"/>
        <w:gridCol w:w="2465"/>
        <w:gridCol w:w="2342"/>
        <w:gridCol w:w="2972"/>
      </w:tblGrid>
      <w:tr w14:paraId="352578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851" w:type="pct"/>
            <w:tcBorders>
              <w:top w:val="single" w:color="auto" w:sz="8" w:space="0"/>
              <w:bottom w:val="single" w:color="auto" w:sz="8" w:space="0"/>
            </w:tcBorders>
            <w:shd w:val="clear" w:color="auto" w:fill="auto"/>
            <w:vAlign w:val="center"/>
          </w:tcPr>
          <w:p w14:paraId="09B62DEF">
            <w:pPr>
              <w:pStyle w:val="230"/>
              <w:ind w:firstLine="0" w:firstLineChars="0"/>
              <w:jc w:val="center"/>
              <w:rPr>
                <w:rFonts w:ascii="Times New Roman"/>
                <w:color w:val="auto"/>
                <w:sz w:val="18"/>
              </w:rPr>
            </w:pPr>
            <w:r>
              <w:rPr>
                <w:rFonts w:ascii="Times New Roman"/>
                <w:color w:val="auto"/>
                <w:sz w:val="18"/>
              </w:rPr>
              <w:t>设备名称</w:t>
            </w:r>
          </w:p>
        </w:tc>
        <w:tc>
          <w:tcPr>
            <w:tcW w:w="1315" w:type="pct"/>
            <w:tcBorders>
              <w:top w:val="single" w:color="auto" w:sz="8" w:space="0"/>
              <w:bottom w:val="single" w:color="auto" w:sz="8" w:space="0"/>
            </w:tcBorders>
            <w:shd w:val="clear" w:color="auto" w:fill="auto"/>
            <w:vAlign w:val="center"/>
          </w:tcPr>
          <w:p w14:paraId="2D0CF1D5">
            <w:pPr>
              <w:pStyle w:val="230"/>
              <w:ind w:firstLine="0" w:firstLineChars="0"/>
              <w:jc w:val="center"/>
              <w:rPr>
                <w:rFonts w:ascii="Times New Roman"/>
                <w:color w:val="auto"/>
                <w:sz w:val="18"/>
              </w:rPr>
            </w:pPr>
            <w:r>
              <w:rPr>
                <w:rFonts w:ascii="Times New Roman"/>
                <w:color w:val="auto"/>
                <w:sz w:val="18"/>
              </w:rPr>
              <w:t>主要技术指标</w:t>
            </w:r>
          </w:p>
        </w:tc>
        <w:tc>
          <w:tcPr>
            <w:tcW w:w="1249" w:type="pct"/>
            <w:tcBorders>
              <w:top w:val="single" w:color="auto" w:sz="8" w:space="0"/>
              <w:bottom w:val="single" w:color="auto" w:sz="8" w:space="0"/>
            </w:tcBorders>
            <w:shd w:val="clear" w:color="auto" w:fill="auto"/>
            <w:vAlign w:val="center"/>
          </w:tcPr>
          <w:p w14:paraId="64A64135">
            <w:pPr>
              <w:pStyle w:val="230"/>
              <w:ind w:firstLine="0" w:firstLineChars="0"/>
              <w:jc w:val="center"/>
              <w:rPr>
                <w:rFonts w:ascii="Times New Roman"/>
                <w:color w:val="auto"/>
                <w:sz w:val="18"/>
              </w:rPr>
            </w:pPr>
            <w:r>
              <w:rPr>
                <w:rFonts w:ascii="Times New Roman"/>
                <w:color w:val="auto"/>
                <w:sz w:val="18"/>
              </w:rPr>
              <w:t>最大允许误差</w:t>
            </w:r>
          </w:p>
        </w:tc>
        <w:tc>
          <w:tcPr>
            <w:tcW w:w="1585" w:type="pct"/>
            <w:tcBorders>
              <w:top w:val="single" w:color="auto" w:sz="8" w:space="0"/>
              <w:bottom w:val="single" w:color="auto" w:sz="8" w:space="0"/>
            </w:tcBorders>
            <w:shd w:val="clear" w:color="auto" w:fill="auto"/>
            <w:vAlign w:val="center"/>
          </w:tcPr>
          <w:p w14:paraId="59207D5F">
            <w:pPr>
              <w:pStyle w:val="230"/>
              <w:ind w:firstLine="0" w:firstLineChars="0"/>
              <w:jc w:val="center"/>
              <w:rPr>
                <w:rFonts w:ascii="Times New Roman"/>
                <w:color w:val="auto"/>
                <w:sz w:val="18"/>
              </w:rPr>
            </w:pPr>
            <w:r>
              <w:rPr>
                <w:rFonts w:ascii="Times New Roman"/>
                <w:color w:val="auto"/>
                <w:sz w:val="18"/>
              </w:rPr>
              <w:t>功能与用途</w:t>
            </w:r>
          </w:p>
        </w:tc>
      </w:tr>
      <w:tr w14:paraId="75F3BA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851" w:type="pct"/>
            <w:tcBorders>
              <w:top w:val="single" w:color="auto" w:sz="8" w:space="0"/>
            </w:tcBorders>
            <w:shd w:val="clear" w:color="auto" w:fill="auto"/>
            <w:vAlign w:val="center"/>
          </w:tcPr>
          <w:p w14:paraId="7992FDA7">
            <w:pPr>
              <w:pStyle w:val="230"/>
              <w:ind w:firstLine="0" w:firstLineChars="0"/>
              <w:jc w:val="center"/>
              <w:rPr>
                <w:rFonts w:ascii="Times New Roman"/>
                <w:color w:val="auto"/>
                <w:sz w:val="18"/>
              </w:rPr>
            </w:pPr>
            <w:r>
              <w:rPr>
                <w:rFonts w:ascii="Times New Roman"/>
                <w:color w:val="auto"/>
                <w:sz w:val="18"/>
              </w:rPr>
              <w:t>地温仪</w:t>
            </w:r>
          </w:p>
        </w:tc>
        <w:tc>
          <w:tcPr>
            <w:tcW w:w="1315" w:type="pct"/>
            <w:tcBorders>
              <w:top w:val="single" w:color="auto" w:sz="8" w:space="0"/>
            </w:tcBorders>
            <w:shd w:val="clear" w:color="auto" w:fill="auto"/>
            <w:vAlign w:val="center"/>
          </w:tcPr>
          <w:p w14:paraId="1719DF17">
            <w:pPr>
              <w:pStyle w:val="230"/>
              <w:ind w:firstLine="0" w:firstLineChars="0"/>
              <w:jc w:val="center"/>
              <w:rPr>
                <w:rFonts w:ascii="Times New Roman"/>
                <w:color w:val="auto"/>
                <w:sz w:val="18"/>
              </w:rPr>
            </w:pPr>
            <w:r>
              <w:rPr>
                <w:rFonts w:ascii="Times New Roman"/>
                <w:color w:val="auto"/>
                <w:sz w:val="18"/>
              </w:rPr>
              <w:t>分辨力优于0.01℃</w:t>
            </w:r>
          </w:p>
        </w:tc>
        <w:tc>
          <w:tcPr>
            <w:tcW w:w="1249" w:type="pct"/>
            <w:tcBorders>
              <w:top w:val="single" w:color="auto" w:sz="8" w:space="0"/>
            </w:tcBorders>
            <w:shd w:val="clear" w:color="auto" w:fill="auto"/>
            <w:vAlign w:val="center"/>
          </w:tcPr>
          <w:p w14:paraId="56902CBA">
            <w:pPr>
              <w:pStyle w:val="230"/>
              <w:ind w:firstLine="0" w:firstLineChars="0"/>
              <w:jc w:val="center"/>
              <w:rPr>
                <w:rFonts w:ascii="Times New Roman"/>
                <w:color w:val="auto"/>
                <w:sz w:val="18"/>
              </w:rPr>
            </w:pPr>
            <w:r>
              <w:rPr>
                <w:rFonts w:hint="eastAsia" w:ascii="宋体" w:hAnsi="宋体" w:eastAsia="宋体" w:cs="宋体"/>
                <w:sz w:val="21"/>
                <w:lang w:val="en-US" w:eastAsia="zh-CN" w:bidi="ar-SA"/>
              </w:rPr>
              <w:t>≤</w:t>
            </w:r>
            <w:r>
              <w:rPr>
                <w:rFonts w:ascii="Times New Roman"/>
                <w:color w:val="auto"/>
                <w:sz w:val="18"/>
              </w:rPr>
              <w:t>±0.1℃</w:t>
            </w:r>
          </w:p>
        </w:tc>
        <w:tc>
          <w:tcPr>
            <w:tcW w:w="1585" w:type="pct"/>
            <w:tcBorders>
              <w:top w:val="single" w:color="auto" w:sz="8" w:space="0"/>
            </w:tcBorders>
            <w:shd w:val="clear" w:color="auto" w:fill="auto"/>
            <w:vAlign w:val="center"/>
          </w:tcPr>
          <w:p w14:paraId="7410BE53">
            <w:pPr>
              <w:pStyle w:val="230"/>
              <w:ind w:firstLine="0" w:firstLineChars="0"/>
              <w:jc w:val="center"/>
              <w:rPr>
                <w:rFonts w:ascii="Times New Roman"/>
                <w:color w:val="auto"/>
                <w:sz w:val="18"/>
              </w:rPr>
            </w:pPr>
            <w:r>
              <w:rPr>
                <w:rFonts w:ascii="Times New Roman"/>
                <w:color w:val="auto"/>
                <w:sz w:val="18"/>
              </w:rPr>
              <w:t>测量观测孔温度</w:t>
            </w:r>
          </w:p>
        </w:tc>
      </w:tr>
      <w:tr w14:paraId="1C6205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851" w:type="pct"/>
            <w:shd w:val="clear" w:color="auto" w:fill="auto"/>
            <w:vAlign w:val="center"/>
          </w:tcPr>
          <w:p w14:paraId="2241F6A7">
            <w:pPr>
              <w:pStyle w:val="230"/>
              <w:ind w:firstLine="0" w:firstLineChars="0"/>
              <w:jc w:val="center"/>
              <w:rPr>
                <w:rFonts w:ascii="Times New Roman"/>
                <w:color w:val="auto"/>
                <w:sz w:val="18"/>
              </w:rPr>
            </w:pPr>
            <w:r>
              <w:rPr>
                <w:rFonts w:ascii="Times New Roman"/>
                <w:color w:val="auto"/>
                <w:sz w:val="18"/>
              </w:rPr>
              <w:t>气温仪</w:t>
            </w:r>
          </w:p>
        </w:tc>
        <w:tc>
          <w:tcPr>
            <w:tcW w:w="1315" w:type="pct"/>
            <w:shd w:val="clear" w:color="auto" w:fill="auto"/>
            <w:vAlign w:val="center"/>
          </w:tcPr>
          <w:p w14:paraId="57A02F38">
            <w:pPr>
              <w:pStyle w:val="230"/>
              <w:ind w:firstLine="0" w:firstLineChars="0"/>
              <w:jc w:val="center"/>
              <w:rPr>
                <w:rFonts w:ascii="Times New Roman"/>
                <w:color w:val="auto"/>
                <w:sz w:val="18"/>
              </w:rPr>
            </w:pPr>
            <w:r>
              <w:rPr>
                <w:rFonts w:ascii="Times New Roman"/>
                <w:color w:val="auto"/>
                <w:sz w:val="18"/>
              </w:rPr>
              <w:t>分辨力优于0.01℃</w:t>
            </w:r>
          </w:p>
        </w:tc>
        <w:tc>
          <w:tcPr>
            <w:tcW w:w="1249" w:type="pct"/>
            <w:shd w:val="clear" w:color="auto" w:fill="auto"/>
            <w:vAlign w:val="center"/>
          </w:tcPr>
          <w:p w14:paraId="37406D48">
            <w:pPr>
              <w:pStyle w:val="230"/>
              <w:ind w:firstLine="0" w:firstLineChars="0"/>
              <w:jc w:val="center"/>
              <w:rPr>
                <w:rFonts w:ascii="Times New Roman"/>
                <w:color w:val="auto"/>
                <w:sz w:val="18"/>
              </w:rPr>
            </w:pPr>
            <w:r>
              <w:rPr>
                <w:rFonts w:hint="eastAsia" w:ascii="宋体" w:hAnsi="宋体" w:eastAsia="宋体" w:cs="宋体"/>
                <w:sz w:val="21"/>
                <w:lang w:val="en-US" w:eastAsia="zh-CN" w:bidi="ar-SA"/>
              </w:rPr>
              <w:t>≤</w:t>
            </w:r>
            <w:r>
              <w:rPr>
                <w:rFonts w:ascii="Times New Roman"/>
                <w:color w:val="auto"/>
                <w:sz w:val="18"/>
              </w:rPr>
              <w:t>±0.1℃</w:t>
            </w:r>
          </w:p>
        </w:tc>
        <w:tc>
          <w:tcPr>
            <w:tcW w:w="1585" w:type="pct"/>
            <w:shd w:val="clear" w:color="auto" w:fill="auto"/>
            <w:vAlign w:val="center"/>
          </w:tcPr>
          <w:p w14:paraId="3DAD3940">
            <w:pPr>
              <w:pStyle w:val="230"/>
              <w:ind w:firstLine="0" w:firstLineChars="0"/>
              <w:jc w:val="center"/>
              <w:rPr>
                <w:rFonts w:ascii="Times New Roman"/>
                <w:color w:val="auto"/>
                <w:sz w:val="18"/>
              </w:rPr>
            </w:pPr>
            <w:r>
              <w:rPr>
                <w:rFonts w:ascii="Times New Roman"/>
                <w:color w:val="auto"/>
                <w:sz w:val="18"/>
              </w:rPr>
              <w:t>测环境温度</w:t>
            </w:r>
          </w:p>
        </w:tc>
      </w:tr>
      <w:tr w14:paraId="3A43B7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851" w:type="pct"/>
            <w:shd w:val="clear" w:color="auto" w:fill="auto"/>
            <w:vAlign w:val="center"/>
          </w:tcPr>
          <w:p w14:paraId="777BFA70">
            <w:pPr>
              <w:pStyle w:val="230"/>
              <w:ind w:firstLine="0" w:firstLineChars="0"/>
              <w:jc w:val="center"/>
              <w:rPr>
                <w:rFonts w:ascii="Times New Roman"/>
                <w:color w:val="auto"/>
                <w:sz w:val="18"/>
              </w:rPr>
            </w:pPr>
            <w:r>
              <w:rPr>
                <w:rFonts w:ascii="Times New Roman"/>
                <w:color w:val="auto"/>
                <w:sz w:val="18"/>
              </w:rPr>
              <w:t>气压仪</w:t>
            </w:r>
          </w:p>
        </w:tc>
        <w:tc>
          <w:tcPr>
            <w:tcW w:w="1315" w:type="pct"/>
            <w:shd w:val="clear" w:color="auto" w:fill="auto"/>
            <w:vAlign w:val="center"/>
          </w:tcPr>
          <w:p w14:paraId="6A43A36E">
            <w:pPr>
              <w:pStyle w:val="230"/>
              <w:ind w:firstLine="0" w:firstLineChars="0"/>
              <w:jc w:val="center"/>
              <w:rPr>
                <w:rFonts w:ascii="Times New Roman"/>
                <w:color w:val="auto"/>
                <w:sz w:val="18"/>
              </w:rPr>
            </w:pPr>
            <w:r>
              <w:rPr>
                <w:rFonts w:ascii="Times New Roman"/>
                <w:color w:val="auto"/>
                <w:sz w:val="18"/>
              </w:rPr>
              <w:t>分辨力优于0.1hPa</w:t>
            </w:r>
          </w:p>
        </w:tc>
        <w:tc>
          <w:tcPr>
            <w:tcW w:w="1249" w:type="pct"/>
            <w:shd w:val="clear" w:color="auto" w:fill="auto"/>
            <w:vAlign w:val="center"/>
          </w:tcPr>
          <w:p w14:paraId="3FE19FD5">
            <w:pPr>
              <w:pStyle w:val="230"/>
              <w:ind w:firstLine="0" w:firstLineChars="0"/>
              <w:jc w:val="center"/>
              <w:rPr>
                <w:rFonts w:ascii="Times New Roman"/>
                <w:color w:val="auto"/>
                <w:sz w:val="18"/>
              </w:rPr>
            </w:pPr>
            <w:r>
              <w:rPr>
                <w:rFonts w:hint="eastAsia" w:ascii="宋体" w:hAnsi="宋体" w:eastAsia="宋体" w:cs="宋体"/>
                <w:sz w:val="21"/>
                <w:lang w:val="en-US" w:eastAsia="zh-CN" w:bidi="ar-SA"/>
              </w:rPr>
              <w:t>＜</w:t>
            </w:r>
            <w:r>
              <w:rPr>
                <w:rFonts w:ascii="Times New Roman"/>
                <w:color w:val="auto"/>
                <w:sz w:val="18"/>
              </w:rPr>
              <w:t>0.2%FS</w:t>
            </w:r>
          </w:p>
        </w:tc>
        <w:tc>
          <w:tcPr>
            <w:tcW w:w="1585" w:type="pct"/>
            <w:shd w:val="clear" w:color="auto" w:fill="auto"/>
            <w:vAlign w:val="center"/>
          </w:tcPr>
          <w:p w14:paraId="4DBD854C">
            <w:pPr>
              <w:pStyle w:val="230"/>
              <w:ind w:firstLine="0" w:firstLineChars="0"/>
              <w:jc w:val="center"/>
              <w:rPr>
                <w:rFonts w:ascii="Times New Roman"/>
                <w:color w:val="auto"/>
                <w:sz w:val="18"/>
              </w:rPr>
            </w:pPr>
            <w:r>
              <w:rPr>
                <w:rFonts w:ascii="Times New Roman"/>
                <w:color w:val="auto"/>
                <w:sz w:val="18"/>
              </w:rPr>
              <w:t>测环境气压</w:t>
            </w:r>
          </w:p>
        </w:tc>
      </w:tr>
      <w:tr w14:paraId="3B4A33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851" w:type="pct"/>
            <w:shd w:val="clear" w:color="auto" w:fill="auto"/>
            <w:vAlign w:val="center"/>
          </w:tcPr>
          <w:p w14:paraId="52D46CEF">
            <w:pPr>
              <w:pStyle w:val="230"/>
              <w:ind w:firstLine="0" w:firstLineChars="0"/>
              <w:jc w:val="center"/>
              <w:rPr>
                <w:rFonts w:ascii="Times New Roman"/>
                <w:color w:val="auto"/>
                <w:sz w:val="18"/>
              </w:rPr>
            </w:pPr>
            <w:r>
              <w:rPr>
                <w:rFonts w:ascii="Times New Roman"/>
                <w:color w:val="auto"/>
                <w:sz w:val="18"/>
              </w:rPr>
              <w:t>雨量计</w:t>
            </w:r>
          </w:p>
        </w:tc>
        <w:tc>
          <w:tcPr>
            <w:tcW w:w="1315" w:type="pct"/>
            <w:shd w:val="clear" w:color="auto" w:fill="auto"/>
            <w:vAlign w:val="center"/>
          </w:tcPr>
          <w:p w14:paraId="3A63FCC5">
            <w:pPr>
              <w:pStyle w:val="230"/>
              <w:ind w:firstLine="0" w:firstLineChars="0"/>
              <w:jc w:val="center"/>
              <w:rPr>
                <w:rFonts w:ascii="Times New Roman"/>
                <w:color w:val="auto"/>
                <w:sz w:val="18"/>
              </w:rPr>
            </w:pPr>
            <w:r>
              <w:rPr>
                <w:rFonts w:ascii="Times New Roman"/>
                <w:color w:val="auto"/>
                <w:sz w:val="18"/>
              </w:rPr>
              <w:t>分辨力优于1mm</w:t>
            </w:r>
          </w:p>
        </w:tc>
        <w:tc>
          <w:tcPr>
            <w:tcW w:w="1249" w:type="pct"/>
            <w:shd w:val="clear" w:color="auto" w:fill="auto"/>
            <w:vAlign w:val="center"/>
          </w:tcPr>
          <w:p w14:paraId="28E4D348">
            <w:pPr>
              <w:pStyle w:val="230"/>
              <w:ind w:firstLine="0" w:firstLineChars="0"/>
              <w:jc w:val="center"/>
              <w:rPr>
                <w:rFonts w:ascii="Times New Roman"/>
                <w:color w:val="auto"/>
                <w:sz w:val="18"/>
              </w:rPr>
            </w:pPr>
            <w:r>
              <w:rPr>
                <w:rFonts w:hint="eastAsia" w:ascii="宋体" w:hAnsi="宋体" w:eastAsia="宋体" w:cs="宋体"/>
                <w:sz w:val="21"/>
                <w:lang w:val="en-US" w:eastAsia="zh-CN" w:bidi="ar-SA"/>
              </w:rPr>
              <w:t>＜</w:t>
            </w:r>
            <w:r>
              <w:rPr>
                <w:rFonts w:ascii="Times New Roman"/>
                <w:color w:val="auto"/>
                <w:sz w:val="18"/>
              </w:rPr>
              <w:t>±4%</w:t>
            </w:r>
          </w:p>
        </w:tc>
        <w:tc>
          <w:tcPr>
            <w:tcW w:w="1585" w:type="pct"/>
            <w:shd w:val="clear" w:color="auto" w:fill="auto"/>
            <w:vAlign w:val="center"/>
          </w:tcPr>
          <w:p w14:paraId="6D8A3018">
            <w:pPr>
              <w:pStyle w:val="230"/>
              <w:ind w:firstLine="0" w:firstLineChars="0"/>
              <w:jc w:val="center"/>
              <w:rPr>
                <w:rFonts w:ascii="Times New Roman"/>
                <w:color w:val="auto"/>
                <w:sz w:val="18"/>
              </w:rPr>
            </w:pPr>
            <w:r>
              <w:rPr>
                <w:rFonts w:ascii="Times New Roman"/>
                <w:color w:val="auto"/>
                <w:sz w:val="18"/>
              </w:rPr>
              <w:t>测降雨量</w:t>
            </w:r>
          </w:p>
        </w:tc>
      </w:tr>
    </w:tbl>
    <w:p w14:paraId="28A351A9">
      <w:pPr>
        <w:pStyle w:val="105"/>
        <w:spacing w:before="156" w:after="156"/>
        <w:rPr>
          <w:rFonts w:ascii="Times New Roman"/>
        </w:rPr>
      </w:pPr>
      <w:r>
        <w:rPr>
          <w:rFonts w:ascii="Times New Roman"/>
        </w:rPr>
        <w:t>通信设施</w:t>
      </w:r>
    </w:p>
    <w:p w14:paraId="1C80864E">
      <w:pPr>
        <w:pStyle w:val="56"/>
        <w:ind w:firstLine="420"/>
        <w:rPr>
          <w:rFonts w:ascii="Times New Roman"/>
        </w:rPr>
      </w:pPr>
      <w:r>
        <w:rPr>
          <w:rFonts w:ascii="Times New Roman"/>
        </w:rPr>
        <w:t>断层土壤气观测台站宜采用通讯数据专线，可采用无线通讯。</w:t>
      </w:r>
    </w:p>
    <w:p w14:paraId="09AD23DF">
      <w:pPr>
        <w:pStyle w:val="105"/>
        <w:spacing w:before="156" w:after="156"/>
        <w:rPr>
          <w:rFonts w:ascii="Times New Roman"/>
        </w:rPr>
      </w:pPr>
      <w:r>
        <w:rPr>
          <w:rFonts w:ascii="Times New Roman"/>
        </w:rPr>
        <w:t>供电设备</w:t>
      </w:r>
    </w:p>
    <w:p w14:paraId="5245EB11">
      <w:pPr>
        <w:pStyle w:val="56"/>
        <w:ind w:firstLine="420"/>
        <w:rPr>
          <w:rFonts w:ascii="Times New Roman"/>
        </w:rPr>
      </w:pPr>
      <w:r>
        <w:rPr>
          <w:rFonts w:ascii="Times New Roman"/>
        </w:rPr>
        <w:t>断层土壤气观测台站供电设备要求如下：</w:t>
      </w:r>
    </w:p>
    <w:p w14:paraId="5F57C8D6">
      <w:pPr>
        <w:pStyle w:val="132"/>
        <w:rPr>
          <w:rFonts w:ascii="Times New Roman"/>
        </w:rPr>
      </w:pPr>
      <w:r>
        <w:rPr>
          <w:rFonts w:ascii="Times New Roman"/>
        </w:rPr>
        <w:t>断层土壤气观测台站应配置不间断供电系统；供电保障不足的台站应配置太阳能充电系统；不间断供电系统电池容量应保证设备满负载延时8h以上。</w:t>
      </w:r>
    </w:p>
    <w:p w14:paraId="45C09588">
      <w:pPr>
        <w:pStyle w:val="132"/>
        <w:rPr>
          <w:rFonts w:ascii="Times New Roman"/>
        </w:rPr>
      </w:pPr>
      <w:r>
        <w:rPr>
          <w:rFonts w:ascii="Times New Roman"/>
        </w:rPr>
        <w:t>不间断供电系统应具有自动稳压、输入输出过压保护、电池欠压保护、过流保护、突波保护、防电磁干扰、开机自动检测、防雷击保护功能。</w:t>
      </w:r>
    </w:p>
    <w:p w14:paraId="08354971">
      <w:pPr>
        <w:pStyle w:val="132"/>
        <w:rPr>
          <w:rFonts w:ascii="Times New Roman"/>
        </w:rPr>
      </w:pPr>
      <w:r>
        <w:rPr>
          <w:rFonts w:ascii="Times New Roman"/>
        </w:rPr>
        <w:t>不间断供电系统宜具有远程通信和远程控制开关机功能。</w:t>
      </w:r>
    </w:p>
    <w:p w14:paraId="7F4F2F04">
      <w:pPr>
        <w:pStyle w:val="105"/>
        <w:spacing w:before="156" w:after="156"/>
        <w:rPr>
          <w:rFonts w:ascii="Times New Roman"/>
        </w:rPr>
      </w:pPr>
      <w:r>
        <w:rPr>
          <w:rFonts w:ascii="Times New Roman"/>
        </w:rPr>
        <w:t>监控设备</w:t>
      </w:r>
    </w:p>
    <w:p w14:paraId="1BCBAAC9">
      <w:pPr>
        <w:pStyle w:val="56"/>
        <w:ind w:firstLine="420"/>
        <w:rPr>
          <w:rFonts w:ascii="Times New Roman"/>
        </w:rPr>
      </w:pPr>
      <w:r>
        <w:rPr>
          <w:rFonts w:ascii="Times New Roman"/>
        </w:rPr>
        <w:t>断层土壤气观测台站宜配置监控数据采集器、温度传感器、湿度传感器、水浸传感器、烟雾传感器、红外传感器和视频监控设备，实现运行状态的远程监控。</w:t>
      </w:r>
    </w:p>
    <w:p w14:paraId="6F639E15">
      <w:pPr>
        <w:pStyle w:val="104"/>
        <w:spacing w:before="312" w:after="312"/>
        <w:rPr>
          <w:rFonts w:ascii="Times New Roman"/>
        </w:rPr>
      </w:pPr>
      <w:bookmarkStart w:id="55" w:name="_Toc5586"/>
      <w:bookmarkStart w:id="56" w:name="_Toc3341"/>
      <w:r>
        <w:rPr>
          <w:rFonts w:ascii="Times New Roman"/>
        </w:rPr>
        <w:t>资料归档</w:t>
      </w:r>
      <w:bookmarkEnd w:id="55"/>
      <w:bookmarkEnd w:id="56"/>
    </w:p>
    <w:p w14:paraId="28A2A0E8">
      <w:pPr>
        <w:pStyle w:val="56"/>
        <w:ind w:firstLine="420"/>
        <w:rPr>
          <w:rFonts w:ascii="Times New Roman"/>
        </w:rPr>
      </w:pPr>
      <w:r>
        <w:rPr>
          <w:rFonts w:ascii="Times New Roman"/>
        </w:rPr>
        <w:t>断层土壤气观测台站建设完成后，应将观测场地勘选报告、观测台站建设报告等材料按照主管单位的档案管理要求进行归档。</w:t>
      </w:r>
    </w:p>
    <w:bookmarkEnd w:id="23"/>
    <w:p w14:paraId="60089681">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pPr>
      <w:bookmarkStart w:id="57" w:name="BookMark6"/>
    </w:p>
    <w:p w14:paraId="3D4574A4">
      <w:pPr>
        <w:pStyle w:val="63"/>
        <w:spacing w:after="156"/>
        <w:rPr>
          <w:rFonts w:hint="eastAsia"/>
        </w:rPr>
      </w:pPr>
      <w:bookmarkStart w:id="58" w:name="_Toc18633"/>
      <w:r>
        <w:rPr>
          <w:rFonts w:hint="eastAsia"/>
          <w:spacing w:val="105"/>
        </w:rPr>
        <w:t>参考文</w:t>
      </w:r>
      <w:r>
        <w:rPr>
          <w:rFonts w:hint="eastAsia"/>
        </w:rPr>
        <w:t>献</w:t>
      </w:r>
      <w:bookmarkEnd w:id="58"/>
    </w:p>
    <w:p w14:paraId="21DAC058">
      <w:pPr>
        <w:pStyle w:val="56"/>
        <w:ind w:firstLine="420"/>
        <w:rPr>
          <w:rFonts w:hint="eastAsia"/>
        </w:rPr>
      </w:pPr>
      <w:r>
        <w:t xml:space="preserve">[1] </w:t>
      </w:r>
      <w:r>
        <w:rPr>
          <w:rFonts w:hint="eastAsia" w:ascii="Times New Roman" w:hAnsi="Times New Roman" w:eastAsia="宋体" w:cs="Times New Roman"/>
          <w:sz w:val="21"/>
          <w:lang w:val="en-US" w:eastAsia="zh-CN" w:bidi="ar-SA"/>
        </w:rPr>
        <w:t>GB/T18207.2-2005</w:t>
      </w:r>
      <w:r>
        <w:rPr>
          <w:rFonts w:hint="eastAsia"/>
        </w:rPr>
        <w:t xml:space="preserve"> 防震减灾术语 第</w:t>
      </w:r>
      <w:r>
        <w:rPr>
          <w:rFonts w:hint="eastAsia" w:ascii="Times New Roman" w:hAnsi="Times New Roman" w:eastAsia="宋体" w:cs="Times New Roman"/>
          <w:sz w:val="21"/>
          <w:lang w:val="en-US" w:eastAsia="zh-CN" w:bidi="ar-SA"/>
        </w:rPr>
        <w:t>2</w:t>
      </w:r>
      <w:r>
        <w:rPr>
          <w:rFonts w:hint="eastAsia"/>
        </w:rPr>
        <w:t>部分:专业术语</w:t>
      </w:r>
    </w:p>
    <w:p w14:paraId="6011B0C8">
      <w:pPr>
        <w:pStyle w:val="56"/>
        <w:ind w:firstLine="420"/>
        <w:rPr>
          <w:rFonts w:hint="eastAsia"/>
        </w:rPr>
      </w:pPr>
      <w:r>
        <w:rPr>
          <w:rFonts w:hint="eastAsia"/>
        </w:rPr>
        <w:t>[</w:t>
      </w:r>
      <w:r>
        <w:t xml:space="preserve">2] </w:t>
      </w:r>
      <w:r>
        <w:rPr>
          <w:rFonts w:hint="eastAsia"/>
        </w:rPr>
        <w:t>江苏省防震减灾条例 第二章 地震监测预报</w:t>
      </w:r>
    </w:p>
    <w:p w14:paraId="21B7C711">
      <w:pPr>
        <w:pStyle w:val="56"/>
        <w:ind w:firstLine="420"/>
        <w:rPr>
          <w:rFonts w:hint="eastAsia"/>
        </w:rPr>
      </w:pPr>
      <w:r>
        <w:t xml:space="preserve">[3] </w:t>
      </w:r>
      <w:r>
        <w:rPr>
          <w:rFonts w:hint="eastAsia" w:ascii="Times New Roman" w:hAnsi="Times New Roman" w:eastAsia="宋体" w:cs="Times New Roman"/>
          <w:sz w:val="21"/>
          <w:lang w:val="en-US" w:eastAsia="zh-CN" w:bidi="ar-SA"/>
        </w:rPr>
        <w:t>DB/T 20.2-2006</w:t>
      </w:r>
      <w:r>
        <w:rPr>
          <w:rFonts w:hint="eastAsia"/>
        </w:rPr>
        <w:t xml:space="preserve"> 地震台站建设规范 地下流体观测 第2部分：气氡和气汞台站</w:t>
      </w:r>
    </w:p>
    <w:p w14:paraId="225CABEC">
      <w:pPr>
        <w:pStyle w:val="56"/>
        <w:ind w:firstLine="420"/>
        <w:rPr>
          <w:rFonts w:hint="eastAsia"/>
        </w:rPr>
      </w:pPr>
      <w:r>
        <w:t xml:space="preserve">[4] </w:t>
      </w:r>
      <w:r>
        <w:rPr>
          <w:rFonts w:hint="eastAsia" w:ascii="Times New Roman" w:hAnsi="Times New Roman" w:eastAsia="宋体" w:cs="Times New Roman"/>
          <w:sz w:val="21"/>
          <w:lang w:val="en-US" w:eastAsia="zh-CN" w:bidi="ar-SA"/>
        </w:rPr>
        <w:t>JS</w:t>
      </w:r>
      <w:r>
        <w:rPr>
          <w:rFonts w:hint="default" w:ascii="Times New Roman" w:hAnsi="Times New Roman" w:eastAsia="宋体" w:cs="Times New Roman"/>
          <w:sz w:val="21"/>
          <w:lang w:val="en-US" w:eastAsia="zh-CN" w:bidi="ar-SA"/>
        </w:rPr>
        <w:t>LT20</w:t>
      </w:r>
      <w:r>
        <w:rPr>
          <w:rFonts w:hint="eastAsia" w:ascii="Times New Roman" w:hAnsi="Times New Roman" w:eastAsia="宋体" w:cs="Times New Roman"/>
          <w:sz w:val="21"/>
          <w:lang w:val="en-US" w:eastAsia="zh-CN" w:bidi="ar-SA"/>
        </w:rPr>
        <w:t>2103</w:t>
      </w:r>
      <w:r>
        <w:rPr>
          <w:rFonts w:hint="eastAsia"/>
        </w:rPr>
        <w:t xml:space="preserve"> 地震监测专业设备（测氡仪）技术要求</w:t>
      </w:r>
    </w:p>
    <w:p w14:paraId="583C40EB">
      <w:pPr>
        <w:pStyle w:val="56"/>
        <w:ind w:firstLine="420"/>
        <w:rPr>
          <w:rFonts w:hint="eastAsia"/>
        </w:rPr>
      </w:pPr>
      <w:r>
        <w:t xml:space="preserve">[5] </w:t>
      </w:r>
      <w:r>
        <w:rPr>
          <w:rFonts w:hint="eastAsia" w:ascii="Times New Roman" w:hAnsi="Times New Roman" w:eastAsia="宋体" w:cs="Times New Roman"/>
          <w:sz w:val="21"/>
          <w:lang w:val="en-US" w:eastAsia="zh-CN" w:bidi="ar-SA"/>
        </w:rPr>
        <w:t>JSLT202104</w:t>
      </w:r>
      <w:r>
        <w:rPr>
          <w:rFonts w:hint="eastAsia"/>
        </w:rPr>
        <w:t xml:space="preserve"> 地震监测专业设备（测汞仪）技术要求</w:t>
      </w:r>
    </w:p>
    <w:p w14:paraId="1A935C74">
      <w:pPr>
        <w:pStyle w:val="56"/>
        <w:ind w:firstLine="420"/>
        <w:rPr>
          <w:rFonts w:hint="eastAsia"/>
        </w:rPr>
      </w:pPr>
      <w:r>
        <w:t xml:space="preserve">[6] </w:t>
      </w:r>
      <w:r>
        <w:rPr>
          <w:rFonts w:hint="eastAsia" w:ascii="Times New Roman" w:hAnsi="Times New Roman" w:eastAsia="宋体" w:cs="Times New Roman"/>
          <w:sz w:val="21"/>
          <w:lang w:val="en-US" w:eastAsia="zh-CN" w:bidi="ar-SA"/>
        </w:rPr>
        <w:t>JSLT202305</w:t>
      </w:r>
      <w:r>
        <w:rPr>
          <w:rFonts w:hint="eastAsia"/>
        </w:rPr>
        <w:t xml:space="preserve"> 地震监测专业设备（二氧化碳红外分析仪）技术要求</w:t>
      </w:r>
    </w:p>
    <w:bookmarkEnd w:id="57"/>
    <w:p w14:paraId="2B7086FB">
      <w:pPr>
        <w:pStyle w:val="56"/>
        <w:ind w:firstLine="0" w:firstLineChars="0"/>
        <w:jc w:val="center"/>
        <w:rPr>
          <w:rFonts w:hint="eastAsia"/>
        </w:rPr>
      </w:pPr>
      <w:bookmarkStart w:id="59" w:name="BookMark8"/>
      <w:r>
        <w:rPr>
          <w:rFonts w:hint="eastAsia"/>
        </w:rPr>
        <w:drawing>
          <wp:inline distT="0" distB="0" distL="0" distR="0">
            <wp:extent cx="1485900" cy="317500"/>
            <wp:effectExtent l="0" t="0" r="0" b="6350"/>
            <wp:docPr id="10" name="图片 10"/>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3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9"/>
    </w:p>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4093D">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6D4DF">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0D2ED">
    <w:pPr>
      <w:pStyle w:val="51"/>
    </w:pPr>
    <w:r>
      <w:fldChar w:fldCharType="begin"/>
    </w:r>
    <w:r>
      <w:instrText xml:space="preserve"> PAGE   \* MERGEFORMAT \* MERGEFORMAT </w:instrText>
    </w:r>
    <w:r>
      <w:fldChar w:fldCharType="separate"/>
    </w:r>
    <w:r>
      <w:t>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E6065">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C8B3A">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9D945">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3E2E9">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F68A7">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71515">
    <w:pPr>
      <w:pStyle w:val="51"/>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AA8B1">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3B657E">
    <w:pPr>
      <w:pStyle w:val="51"/>
    </w:pPr>
    <w:r>
      <w:fldChar w:fldCharType="begin"/>
    </w:r>
    <w:r>
      <w:instrText xml:space="preserve"> PAGE   \* MERGEFORMAT \* MERGEFORMAT </w:instrText>
    </w:r>
    <w:r>
      <w:fldChar w:fldCharType="separate"/>
    </w:r>
    <w: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617E2">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31A2E">
    <w:pPr>
      <w:pStyle w:val="61"/>
    </w:pPr>
    <w:r>
      <w:fldChar w:fldCharType="begin"/>
    </w:r>
    <w:r>
      <w:instrText xml:space="preserve"> STYLEREF  标准文件_文件编号  \* MERGEFORMAT </w:instrText>
    </w:r>
    <w:r>
      <w:fldChar w:fldCharType="separate"/>
    </w:r>
    <w:r>
      <w:t>DB 32/T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DC567">
    <w:pPr>
      <w:pStyle w:val="62"/>
    </w:pPr>
    <w:r>
      <w:fldChar w:fldCharType="begin"/>
    </w:r>
    <w:r>
      <w:instrText xml:space="preserve"> STYLEREF  标准文件_文件编号 \* MERGEFORMAT </w:instrText>
    </w:r>
    <w:r>
      <w:fldChar w:fldCharType="separate"/>
    </w:r>
    <w:r>
      <w:t>DB 32/T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54B37">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9A827">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A0D7D">
    <w:pPr>
      <w:pStyle w:val="61"/>
    </w:pPr>
    <w:r>
      <w:fldChar w:fldCharType="begin"/>
    </w:r>
    <w:r>
      <w:instrText xml:space="preserve"> STYLEREF  标准文件_文件编号  \* MERGEFORMAT </w:instrText>
    </w:r>
    <w:r>
      <w:fldChar w:fldCharType="separate"/>
    </w:r>
    <w: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FF1CD">
    <w:pPr>
      <w:pStyle w:val="62"/>
    </w:pPr>
    <w:r>
      <w:fldChar w:fldCharType="begin"/>
    </w:r>
    <w:r>
      <w:instrText xml:space="preserve"> STYLEREF  标准文件_文件编号 \* MERGEFORMAT </w:instrText>
    </w:r>
    <w:r>
      <w:fldChar w:fldCharType="separate"/>
    </w:r>
    <w:r>
      <w:t>DB 32/T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BD436">
    <w:pPr>
      <w:pStyle w:val="61"/>
    </w:pPr>
    <w:r>
      <w:fldChar w:fldCharType="begin"/>
    </w:r>
    <w:r>
      <w:instrText xml:space="preserve"> STYLEREF  标准文件_文件编号  \* MERGEFORMAT </w:instrText>
    </w:r>
    <w:r>
      <w:fldChar w:fldCharType="separate"/>
    </w:r>
    <w:r>
      <w:t>DB 32/T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A2309">
    <w:pPr>
      <w:pStyle w:val="62"/>
    </w:pPr>
    <w:r>
      <w:fldChar w:fldCharType="begin"/>
    </w:r>
    <w:r>
      <w:instrText xml:space="preserve"> STYLEREF  标准文件_文件编号 \* MERGEFORMAT </w:instrText>
    </w:r>
    <w:r>
      <w:fldChar w:fldCharType="separate"/>
    </w:r>
    <w:r>
      <w:t>DB 32/T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58680">
    <w:pPr>
      <w:pStyle w:val="61"/>
    </w:pPr>
    <w:r>
      <w:fldChar w:fldCharType="begin"/>
    </w:r>
    <w:r>
      <w:instrText xml:space="preserve"> STYLEREF  标准文件_文件编号  \* MERGEFORMAT </w:instrText>
    </w:r>
    <w:r>
      <w:fldChar w:fldCharType="separate"/>
    </w:r>
    <w:r>
      <w:t>DB 32/T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E903A">
    <w:pPr>
      <w:pStyle w:val="62"/>
    </w:pPr>
    <w:r>
      <w:fldChar w:fldCharType="begin"/>
    </w:r>
    <w:r>
      <w:instrText xml:space="preserve"> STYLEREF  标准文件_文件编号 \* MERGEFORMAT </w:instrText>
    </w:r>
    <w:r>
      <w:fldChar w:fldCharType="separate"/>
    </w:r>
    <w: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pStyle w:val="233"/>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default" w:ascii="Times New Roman" w:hAnsi="Times New Roman" w:eastAsia="宋体" w:cs="Times New Roman"/>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YzY2IxZjAyMTFkMjBhYTRmYjcwMzk2YTkyYWI3ZWQifQ=="/>
  </w:docVars>
  <w:rsids>
    <w:rsidRoot w:val="00BD420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418"/>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1AC"/>
    <w:rsid w:val="00190087"/>
    <w:rsid w:val="001913C4"/>
    <w:rsid w:val="0019348F"/>
    <w:rsid w:val="00193A07"/>
    <w:rsid w:val="00194C95"/>
    <w:rsid w:val="00195C34"/>
    <w:rsid w:val="00196EF5"/>
    <w:rsid w:val="001A1A53"/>
    <w:rsid w:val="001A234A"/>
    <w:rsid w:val="001A4CF3"/>
    <w:rsid w:val="001A515B"/>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5F6"/>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6F4"/>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789"/>
    <w:rsid w:val="006819B8"/>
    <w:rsid w:val="006840A6"/>
    <w:rsid w:val="006850CD"/>
    <w:rsid w:val="00685AAB"/>
    <w:rsid w:val="00695D22"/>
    <w:rsid w:val="006A07AA"/>
    <w:rsid w:val="006A25E5"/>
    <w:rsid w:val="006A2B46"/>
    <w:rsid w:val="006A336D"/>
    <w:rsid w:val="006A37B9"/>
    <w:rsid w:val="006B012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37D7"/>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3023"/>
    <w:rsid w:val="009E4A58"/>
    <w:rsid w:val="009E5A2D"/>
    <w:rsid w:val="009E5AB2"/>
    <w:rsid w:val="009E6219"/>
    <w:rsid w:val="009F03B3"/>
    <w:rsid w:val="009F7354"/>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24D3"/>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728"/>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0C4F"/>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4201"/>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3F70"/>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7B23"/>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68"/>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408A"/>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64B395F"/>
    <w:rsid w:val="06C70A28"/>
    <w:rsid w:val="0D431DB7"/>
    <w:rsid w:val="1045133B"/>
    <w:rsid w:val="125735A8"/>
    <w:rsid w:val="143801A2"/>
    <w:rsid w:val="19923062"/>
    <w:rsid w:val="1C4921B3"/>
    <w:rsid w:val="2D8950BC"/>
    <w:rsid w:val="2E255EB0"/>
    <w:rsid w:val="44A274C3"/>
    <w:rsid w:val="4BDB6721"/>
    <w:rsid w:val="4F364A99"/>
    <w:rsid w:val="57F6111C"/>
    <w:rsid w:val="581E6274"/>
    <w:rsid w:val="5BBC1352"/>
    <w:rsid w:val="5F4E4A6A"/>
    <w:rsid w:val="64A37553"/>
    <w:rsid w:val="6A9A6657"/>
    <w:rsid w:val="7E7342FF"/>
    <w:rsid w:val="7E991353"/>
    <w:rsid w:val="7EF96296"/>
    <w:rsid w:val="7F5E259D"/>
    <w:rsid w:val="7F7378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link w:val="230"/>
    <w:qFormat/>
    <w:uiPriority w:val="0"/>
    <w:rPr>
      <w:rFonts w:ascii="宋体" w:hAnsi="Times New Roman"/>
      <w:sz w:val="21"/>
    </w:rPr>
  </w:style>
  <w:style w:type="paragraph" w:customStyle="1" w:styleId="232">
    <w:name w:val="章标题"/>
    <w:next w:val="230"/>
    <w:qFormat/>
    <w:uiPriority w:val="0"/>
    <w:pPr>
      <w:numPr>
        <w:ilvl w:val="0"/>
        <w:numId w:val="3"/>
      </w:numPr>
      <w:spacing w:beforeLines="100" w:afterLines="100"/>
      <w:jc w:val="both"/>
      <w:outlineLvl w:val="1"/>
    </w:pPr>
    <w:rPr>
      <w:rFonts w:ascii="黑体" w:hAnsi="Times New Roman" w:eastAsia="黑体" w:cs="Times New Roman"/>
      <w:sz w:val="21"/>
      <w:lang w:val="en-US" w:eastAsia="zh-CN" w:bidi="ar-SA"/>
    </w:rPr>
  </w:style>
  <w:style w:type="paragraph" w:customStyle="1" w:styleId="233">
    <w:name w:val="一级条标题"/>
    <w:next w:val="230"/>
    <w:qFormat/>
    <w:uiPriority w:val="0"/>
    <w:pPr>
      <w:numPr>
        <w:ilvl w:val="1"/>
        <w:numId w:val="3"/>
      </w:numPr>
      <w:spacing w:beforeLines="50" w:afterLines="50"/>
      <w:outlineLvl w:val="2"/>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1" Type="http://schemas.openxmlformats.org/officeDocument/2006/relationships/glossaryDocument" Target="glossary/document.xml"/><Relationship Id="rId40" Type="http://schemas.openxmlformats.org/officeDocument/2006/relationships/fontTable" Target="fontTable.xml"/><Relationship Id="rId4" Type="http://schemas.openxmlformats.org/officeDocument/2006/relationships/endnotes" Target="endnotes.xml"/><Relationship Id="rId39" Type="http://schemas.openxmlformats.org/officeDocument/2006/relationships/customXml" Target="../customXml/item2.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image" Target="media/image9.jpeg"/><Relationship Id="rId35" Type="http://schemas.openxmlformats.org/officeDocument/2006/relationships/image" Target="media/image8.wmf"/><Relationship Id="rId34" Type="http://schemas.openxmlformats.org/officeDocument/2006/relationships/image" Target="media/image7.wmf"/><Relationship Id="rId33" Type="http://schemas.openxmlformats.org/officeDocument/2006/relationships/image" Target="media/image6.png"/><Relationship Id="rId32" Type="http://schemas.openxmlformats.org/officeDocument/2006/relationships/image" Target="media/image5.png"/><Relationship Id="rId31" Type="http://schemas.openxmlformats.org/officeDocument/2006/relationships/image" Target="media/image4.png"/><Relationship Id="rId30" Type="http://schemas.openxmlformats.org/officeDocument/2006/relationships/image" Target="media/image3.pn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tiff"/><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AC9211AF13048128514A4A0ADF86398"/>
        <w:style w:val=""/>
        <w:category>
          <w:name w:val="常规"/>
          <w:gallery w:val="placeholder"/>
        </w:category>
        <w:types>
          <w:type w:val="bbPlcHdr"/>
        </w:types>
        <w:behaviors>
          <w:behavior w:val="content"/>
        </w:behaviors>
        <w:description w:val=""/>
        <w:guid w:val="{551EA1BA-2C0F-4B9B-A1D1-C403A950D8D9}"/>
      </w:docPartPr>
      <w:docPartBody>
        <w:p w14:paraId="4FCB88F5">
          <w:pPr>
            <w:pStyle w:val="5"/>
          </w:pPr>
          <w:r>
            <w:rPr>
              <w:rStyle w:val="4"/>
              <w:rFonts w:hint="eastAsia"/>
            </w:rPr>
            <w:t>单击或点击此处输入文字。</w:t>
          </w:r>
        </w:p>
      </w:docPartBody>
    </w:docPart>
    <w:docPart>
      <w:docPartPr>
        <w:name w:val="DC0633F243CC48C2B2BEEE200A9AF97F"/>
        <w:style w:val=""/>
        <w:category>
          <w:name w:val="常规"/>
          <w:gallery w:val="placeholder"/>
        </w:category>
        <w:types>
          <w:type w:val="bbPlcHdr"/>
        </w:types>
        <w:behaviors>
          <w:behavior w:val="content"/>
        </w:behaviors>
        <w:description w:val=""/>
        <w:guid w:val="{4AC40700-BA20-4905-8662-0CFD454CD167}"/>
      </w:docPartPr>
      <w:docPartBody>
        <w:p w14:paraId="1493CEB5">
          <w:pPr>
            <w:pStyle w:val="6"/>
          </w:pPr>
          <w:r>
            <w:rPr>
              <w:rStyle w:val="4"/>
              <w:rFonts w:hint="eastAsia"/>
            </w:rPr>
            <w:t>选择一项。</w:t>
          </w:r>
        </w:p>
      </w:docPartBody>
    </w:docPart>
    <w:docPart>
      <w:docPartPr>
        <w:name w:val="ED975E5FE2164DFE9F2950F324703DDA"/>
        <w:style w:val=""/>
        <w:category>
          <w:name w:val="常规"/>
          <w:gallery w:val="placeholder"/>
        </w:category>
        <w:types>
          <w:type w:val="bbPlcHdr"/>
        </w:types>
        <w:behaviors>
          <w:behavior w:val="content"/>
        </w:behaviors>
        <w:description w:val=""/>
        <w:guid w:val="{8C0F9441-4D1C-4220-92BB-1972DD319B8B}"/>
      </w:docPartPr>
      <w:docPartBody>
        <w:p w14:paraId="73C22E9A">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8C4"/>
    <w:rsid w:val="003F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AC9211AF13048128514A4A0ADF8639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DC0633F243CC48C2B2BEEE200A9AF97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D975E5FE2164DFE9F2950F324703DDA"/>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13</Pages>
  <Words>3274</Words>
  <Characters>3736</Characters>
  <Lines>484</Lines>
  <Paragraphs>435</Paragraphs>
  <TotalTime>2</TotalTime>
  <ScaleCrop>false</ScaleCrop>
  <LinksUpToDate>false</LinksUpToDate>
  <CharactersWithSpaces>3863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2024-09-20T06:10:00Z</dcterms:created>
  <dc:creator>DELL</dc:creator>
  <dc:description>&lt;config cover="true" show_menu="true" version="1.0.0" doctype="SDKXY"&gt;_x000d_
&lt;/config&gt;</dc:description>
  <cp:lastModifiedBy>okman</cp:lastModifiedBy>
  <cp:lastPrinted>2020-08-30T10:00:00Z</cp:lastPrinted>
  <dcterms:modified xsi:type="dcterms:W3CDTF">2024-09-23T01:19:10Z</dcterms:modified>
  <dc:title>地方标准</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2052-12.1.0.18276</vt:lpwstr>
  </property>
  <property fmtid="{D5CDD505-2E9C-101B-9397-08002B2CF9AE}" pid="16" name="ICV">
    <vt:lpwstr>AA7F54F4EC3449FD9858B6075A329318_13</vt:lpwstr>
  </property>
</Properties>
</file>